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996673">
      <w:pPr>
        <w:jc w:val="center"/>
        <w:rPr>
          <w:rFonts w:hint="default" w:ascii="Times New Roman" w:hAnsi="Times New Roman" w:cs="Times New Roman"/>
          <w:b/>
          <w:sz w:val="24"/>
        </w:rPr>
      </w:pPr>
      <w:r>
        <w:rPr>
          <w:rFonts w:hint="default" w:ascii="Times New Roman" w:hAnsi="Times New Roman" w:cs="Times New Roman"/>
          <w:b/>
          <w:sz w:val="24"/>
        </w:rPr>
        <w:t>PROGRAMME IMPLEMENTATION PLAN FOR PRADHAN MANTRI NATIONAL DIALYSIS PROGRAMME (PMNDP), 2026-27</w:t>
      </w:r>
    </w:p>
    <w:p w14:paraId="2C9D4EAF">
      <w:pPr>
        <w:jc w:val="center"/>
        <w:rPr>
          <w:rFonts w:hint="default" w:ascii="Times New Roman" w:hAnsi="Times New Roman" w:cs="Times New Roman"/>
          <w:b/>
          <w:sz w:val="24"/>
        </w:rPr>
      </w:pPr>
    </w:p>
    <w:p w14:paraId="727D69A5">
      <w:pPr>
        <w:ind w:firstLine="720"/>
        <w:jc w:val="both"/>
        <w:rPr>
          <w:rFonts w:hint="default" w:ascii="Times New Roman" w:hAnsi="Times New Roman" w:cs="Times New Roman"/>
          <w:bCs/>
          <w:sz w:val="24"/>
          <w:lang w:val="en-IN"/>
        </w:rPr>
      </w:pPr>
      <w:r>
        <w:rPr>
          <w:rFonts w:hint="default" w:ascii="Times New Roman" w:hAnsi="Times New Roman" w:cs="Times New Roman"/>
          <w:bCs/>
          <w:sz w:val="24"/>
          <w:lang w:val="en-IN"/>
        </w:rPr>
        <w:t xml:space="preserve">The first dialysis unit in Mizoram was established in 2001 with a single dialysis machine at Civil Hospital, Aizawl. At present, the State operates five dialysis units located at Civil Hospital Aizawl, Lunglei, Champhai, Kolasib, and the newly functional Siaha District Hospital under the </w:t>
      </w:r>
      <w:r>
        <w:rPr>
          <w:rFonts w:hint="default" w:ascii="Times New Roman" w:hAnsi="Times New Roman" w:cs="Times New Roman"/>
          <w:bCs/>
          <w:i/>
          <w:iCs/>
          <w:sz w:val="24"/>
          <w:lang w:val="en-IN"/>
        </w:rPr>
        <w:t>Pradhan Mantri National Dialysis Programme (PMNDP).</w:t>
      </w:r>
    </w:p>
    <w:p w14:paraId="504ADE8B">
      <w:pPr>
        <w:ind w:firstLine="720"/>
        <w:jc w:val="both"/>
        <w:rPr>
          <w:rFonts w:hint="default" w:ascii="Times New Roman" w:hAnsi="Times New Roman" w:cs="Times New Roman"/>
          <w:bCs/>
          <w:sz w:val="24"/>
          <w:lang w:val="en-IN"/>
        </w:rPr>
      </w:pPr>
      <w:r>
        <w:rPr>
          <w:rFonts w:hint="default" w:ascii="Times New Roman" w:hAnsi="Times New Roman" w:cs="Times New Roman"/>
          <w:bCs/>
          <w:sz w:val="24"/>
          <w:lang w:val="en-IN"/>
        </w:rPr>
        <w:t>In line with the State’s plan to expand dialysis facilities to all districts, Mizoram has made significant progress over the past two years. The State has been fortunate to receive 26 haemodialysis machines through Corporate Social Responsibility (CSR) funding and an additional two machines donated by a Member of the Mizoram Legislative Assembly. With this generous support, four new dialysis centres have been established at Siaha, Lawngtlai, Serchhip, and Mamit District Hospitals.</w:t>
      </w:r>
    </w:p>
    <w:p w14:paraId="63486139">
      <w:pPr>
        <w:ind w:firstLine="720"/>
        <w:jc w:val="both"/>
        <w:rPr>
          <w:rFonts w:hint="default" w:ascii="Times New Roman" w:hAnsi="Times New Roman" w:cs="Times New Roman"/>
          <w:bCs/>
          <w:sz w:val="24"/>
          <w:lang w:val="en-IN"/>
        </w:rPr>
      </w:pPr>
      <w:r>
        <w:rPr>
          <w:rFonts w:hint="default" w:ascii="Times New Roman" w:hAnsi="Times New Roman" w:cs="Times New Roman"/>
          <w:bCs/>
          <w:sz w:val="24"/>
          <w:lang w:val="en-IN"/>
        </w:rPr>
        <w:t>Currently, only the dialysis centre at Siaha District Hospital is operational. The remaining three centres—Lawngtlai, Serchhip, and Mamit—are expected to become functional in the near future once the required human resources are in place.</w:t>
      </w:r>
    </w:p>
    <w:p w14:paraId="6AC6A2AB">
      <w:pPr>
        <w:ind w:firstLine="720"/>
        <w:jc w:val="both"/>
        <w:rPr>
          <w:rFonts w:hint="default" w:ascii="Times New Roman" w:hAnsi="Times New Roman" w:cs="Times New Roman"/>
          <w:bCs/>
          <w:sz w:val="24"/>
          <w:lang w:val="en-IN"/>
        </w:rPr>
      </w:pPr>
      <w:r>
        <w:rPr>
          <w:rFonts w:hint="default" w:ascii="Times New Roman" w:hAnsi="Times New Roman" w:cs="Times New Roman"/>
          <w:bCs/>
          <w:sz w:val="24"/>
          <w:lang w:val="en-IN"/>
        </w:rPr>
        <w:t>In addition, haemodialysis services have been provided on a limited scale at the State’s lone Medical College for the past 3–4 years. However, the facility has not yet been included under the PMNDP. Given the growing urban population and the corresponding increase in the number of patients requiring dialysis, the State has decided to include the Medical College under the PMNDP from the next financial year.</w:t>
      </w:r>
    </w:p>
    <w:p w14:paraId="615B6797">
      <w:pPr>
        <w:ind w:firstLine="720"/>
        <w:jc w:val="both"/>
        <w:rPr>
          <w:rFonts w:hint="default" w:ascii="Times New Roman" w:hAnsi="Times New Roman" w:cs="Times New Roman"/>
          <w:bCs/>
          <w:sz w:val="24"/>
          <w:lang w:val="en-IN"/>
        </w:rPr>
      </w:pPr>
      <w:r>
        <w:rPr>
          <w:rFonts w:hint="default" w:ascii="Times New Roman" w:hAnsi="Times New Roman" w:cs="Times New Roman"/>
          <w:bCs/>
          <w:sz w:val="24"/>
          <w:lang w:val="en-IN"/>
        </w:rPr>
        <w:t>Haemodialysis services are provided free of cost to patients falling under the Below Poverty Line (BPL) category. For non-BPL patients, the average cost per dialysis session ranges from ₹800 to ₹1,200.</w:t>
      </w:r>
    </w:p>
    <w:p w14:paraId="0AA1F43C">
      <w:pPr>
        <w:ind w:firstLine="720"/>
        <w:jc w:val="both"/>
        <w:rPr>
          <w:rFonts w:hint="default" w:ascii="Times New Roman" w:hAnsi="Times New Roman" w:cs="Times New Roman"/>
          <w:bCs/>
          <w:sz w:val="24"/>
          <w:lang w:val="en-US"/>
        </w:rPr>
      </w:pPr>
      <w:r>
        <w:rPr>
          <w:rFonts w:hint="default" w:ascii="Times New Roman" w:hAnsi="Times New Roman" w:cs="Times New Roman"/>
          <w:bCs/>
          <w:sz w:val="24"/>
          <w:lang w:val="en-IN"/>
        </w:rPr>
        <w:t xml:space="preserve">To further reduce out-of-pocket expenditure on dialysis care, the State proposes to allocate funds for the procurement of consumables required by patients availing services at these centres. The total amount proposed for the purchase of consumables is ₹. </w:t>
      </w:r>
      <w:r>
        <w:rPr>
          <w:rFonts w:hint="default" w:ascii="Times New Roman" w:hAnsi="Times New Roman" w:eastAsia="Times New Roman" w:cs="Times New Roman"/>
          <w:b/>
          <w:bCs/>
          <w:color w:val="000000"/>
          <w:sz w:val="24"/>
          <w:szCs w:val="24"/>
          <w:lang w:val="en-IN" w:eastAsia="en-IN"/>
        </w:rPr>
        <w:t>20</w:t>
      </w:r>
      <w:r>
        <w:rPr>
          <w:rFonts w:hint="default" w:ascii="Times New Roman" w:hAnsi="Times New Roman" w:eastAsia="Times New Roman" w:cs="Times New Roman"/>
          <w:b/>
          <w:bCs/>
          <w:color w:val="000000"/>
          <w:sz w:val="24"/>
          <w:szCs w:val="24"/>
          <w:lang w:val="en-US" w:eastAsia="en-IN"/>
        </w:rPr>
        <w:t>.71</w:t>
      </w:r>
      <w:bookmarkStart w:id="0" w:name="_GoBack"/>
      <w:bookmarkEnd w:id="0"/>
    </w:p>
    <w:tbl>
      <w:tblPr>
        <w:tblStyle w:val="12"/>
        <w:tblW w:w="9771" w:type="dxa"/>
        <w:tblInd w:w="0" w:type="dxa"/>
        <w:tblLayout w:type="autofit"/>
        <w:tblCellMar>
          <w:top w:w="0" w:type="dxa"/>
          <w:left w:w="108" w:type="dxa"/>
          <w:bottom w:w="0" w:type="dxa"/>
          <w:right w:w="108" w:type="dxa"/>
        </w:tblCellMar>
      </w:tblPr>
      <w:tblGrid>
        <w:gridCol w:w="2460"/>
        <w:gridCol w:w="1500"/>
        <w:gridCol w:w="2551"/>
        <w:gridCol w:w="3260"/>
      </w:tblGrid>
      <w:tr w14:paraId="541111DA">
        <w:tblPrEx>
          <w:tblCellMar>
            <w:top w:w="0" w:type="dxa"/>
            <w:left w:w="108" w:type="dxa"/>
            <w:bottom w:w="0" w:type="dxa"/>
            <w:right w:w="108" w:type="dxa"/>
          </w:tblCellMar>
        </w:tblPrEx>
        <w:trPr>
          <w:trHeight w:val="310" w:hRule="atLeast"/>
        </w:trPr>
        <w:tc>
          <w:tcPr>
            <w:tcW w:w="2460" w:type="dxa"/>
            <w:tcBorders>
              <w:top w:val="single" w:color="000000" w:sz="8" w:space="0"/>
              <w:left w:val="single" w:color="000000" w:sz="8" w:space="0"/>
              <w:bottom w:val="single" w:color="000000" w:sz="8" w:space="0"/>
              <w:right w:val="single" w:color="000000" w:sz="8" w:space="0"/>
            </w:tcBorders>
            <w:vAlign w:val="center"/>
          </w:tcPr>
          <w:p w14:paraId="696E0113">
            <w:pPr>
              <w:spacing w:after="0" w:line="240" w:lineRule="auto"/>
              <w:jc w:val="center"/>
              <w:rPr>
                <w:rFonts w:hint="default" w:ascii="Times New Roman" w:hAnsi="Times New Roman" w:eastAsia="Times New Roman" w:cs="Times New Roman"/>
                <w:b/>
                <w:bCs/>
                <w:color w:val="000000"/>
                <w:sz w:val="24"/>
                <w:szCs w:val="24"/>
                <w:lang w:val="en-IN" w:eastAsia="en-IN"/>
              </w:rPr>
            </w:pPr>
            <w:r>
              <w:rPr>
                <w:rFonts w:hint="default" w:ascii="Times New Roman" w:hAnsi="Times New Roman" w:eastAsia="Times New Roman" w:cs="Times New Roman"/>
                <w:b/>
                <w:bCs/>
                <w:color w:val="000000"/>
                <w:sz w:val="24"/>
                <w:szCs w:val="24"/>
                <w:lang w:val="en-IN" w:eastAsia="en-IN"/>
              </w:rPr>
              <w:t>Items</w:t>
            </w:r>
          </w:p>
        </w:tc>
        <w:tc>
          <w:tcPr>
            <w:tcW w:w="1500" w:type="dxa"/>
            <w:tcBorders>
              <w:top w:val="single" w:color="000000" w:sz="8" w:space="0"/>
              <w:left w:val="nil"/>
              <w:bottom w:val="single" w:color="000000" w:sz="8" w:space="0"/>
              <w:right w:val="single" w:color="000000" w:sz="8" w:space="0"/>
            </w:tcBorders>
            <w:vAlign w:val="center"/>
          </w:tcPr>
          <w:p w14:paraId="3C2C1E5A">
            <w:pPr>
              <w:spacing w:after="0" w:line="240" w:lineRule="auto"/>
              <w:jc w:val="center"/>
              <w:rPr>
                <w:rFonts w:hint="default" w:ascii="Times New Roman" w:hAnsi="Times New Roman" w:eastAsia="Times New Roman" w:cs="Times New Roman"/>
                <w:b/>
                <w:bCs/>
                <w:color w:val="000000"/>
                <w:sz w:val="24"/>
                <w:szCs w:val="24"/>
                <w:lang w:val="en-IN" w:eastAsia="en-IN"/>
              </w:rPr>
            </w:pPr>
            <w:r>
              <w:rPr>
                <w:rFonts w:hint="default" w:ascii="Times New Roman" w:hAnsi="Times New Roman" w:eastAsia="Times New Roman" w:cs="Times New Roman"/>
                <w:b/>
                <w:bCs/>
                <w:color w:val="000000"/>
                <w:sz w:val="24"/>
                <w:szCs w:val="24"/>
                <w:lang w:val="en-IN" w:eastAsia="en-IN"/>
              </w:rPr>
              <w:t>Rate/unit</w:t>
            </w:r>
          </w:p>
        </w:tc>
        <w:tc>
          <w:tcPr>
            <w:tcW w:w="2551" w:type="dxa"/>
            <w:tcBorders>
              <w:top w:val="single" w:color="000000" w:sz="8" w:space="0"/>
              <w:left w:val="nil"/>
              <w:bottom w:val="single" w:color="000000" w:sz="8" w:space="0"/>
              <w:right w:val="single" w:color="000000" w:sz="8" w:space="0"/>
            </w:tcBorders>
            <w:vAlign w:val="center"/>
          </w:tcPr>
          <w:p w14:paraId="0395447B">
            <w:pPr>
              <w:spacing w:after="0" w:line="240" w:lineRule="auto"/>
              <w:jc w:val="center"/>
              <w:rPr>
                <w:rFonts w:hint="default" w:ascii="Times New Roman" w:hAnsi="Times New Roman" w:eastAsia="Times New Roman" w:cs="Times New Roman"/>
                <w:b/>
                <w:bCs/>
                <w:color w:val="000000"/>
                <w:sz w:val="24"/>
                <w:szCs w:val="24"/>
                <w:lang w:val="en-IN" w:eastAsia="en-IN"/>
              </w:rPr>
            </w:pPr>
            <w:r>
              <w:rPr>
                <w:rFonts w:hint="default" w:ascii="Times New Roman" w:hAnsi="Times New Roman" w:eastAsia="Times New Roman" w:cs="Times New Roman"/>
                <w:b/>
                <w:bCs/>
                <w:color w:val="000000"/>
                <w:sz w:val="24"/>
                <w:szCs w:val="24"/>
                <w:lang w:val="en-IN" w:eastAsia="en-IN"/>
              </w:rPr>
              <w:t xml:space="preserve">Quantity </w:t>
            </w:r>
          </w:p>
        </w:tc>
        <w:tc>
          <w:tcPr>
            <w:tcW w:w="3260" w:type="dxa"/>
            <w:tcBorders>
              <w:top w:val="single" w:color="000000" w:sz="8" w:space="0"/>
              <w:left w:val="nil"/>
              <w:bottom w:val="single" w:color="000000" w:sz="8" w:space="0"/>
              <w:right w:val="single" w:color="000000" w:sz="8" w:space="0"/>
            </w:tcBorders>
            <w:vAlign w:val="center"/>
          </w:tcPr>
          <w:p w14:paraId="1070D7BC">
            <w:pPr>
              <w:spacing w:after="0" w:line="240" w:lineRule="auto"/>
              <w:jc w:val="center"/>
              <w:rPr>
                <w:rFonts w:hint="default" w:ascii="Times New Roman" w:hAnsi="Times New Roman" w:eastAsia="Times New Roman" w:cs="Times New Roman"/>
                <w:b/>
                <w:bCs/>
                <w:color w:val="000000"/>
                <w:sz w:val="24"/>
                <w:szCs w:val="24"/>
                <w:lang w:val="en-IN" w:eastAsia="en-IN"/>
              </w:rPr>
            </w:pPr>
            <w:r>
              <w:rPr>
                <w:rFonts w:hint="default" w:ascii="Times New Roman" w:hAnsi="Times New Roman" w:eastAsia="Times New Roman" w:cs="Times New Roman"/>
                <w:b/>
                <w:bCs/>
                <w:color w:val="000000"/>
                <w:sz w:val="24"/>
                <w:szCs w:val="24"/>
                <w:lang w:val="en-IN" w:eastAsia="en-IN"/>
              </w:rPr>
              <w:t xml:space="preserve">Total </w:t>
            </w:r>
          </w:p>
        </w:tc>
      </w:tr>
      <w:tr w14:paraId="7CDA057D">
        <w:tblPrEx>
          <w:tblCellMar>
            <w:top w:w="0" w:type="dxa"/>
            <w:left w:w="108" w:type="dxa"/>
            <w:bottom w:w="0" w:type="dxa"/>
            <w:right w:w="108" w:type="dxa"/>
          </w:tblCellMar>
        </w:tblPrEx>
        <w:trPr>
          <w:trHeight w:val="310" w:hRule="atLeast"/>
        </w:trPr>
        <w:tc>
          <w:tcPr>
            <w:tcW w:w="2460" w:type="dxa"/>
            <w:tcBorders>
              <w:top w:val="nil"/>
              <w:left w:val="single" w:color="000000" w:sz="8" w:space="0"/>
              <w:bottom w:val="single" w:color="000000" w:sz="8" w:space="0"/>
              <w:right w:val="single" w:color="000000" w:sz="8" w:space="0"/>
            </w:tcBorders>
            <w:vAlign w:val="center"/>
          </w:tcPr>
          <w:p w14:paraId="2DE6A7C5">
            <w:pPr>
              <w:spacing w:after="0" w:line="240" w:lineRule="auto"/>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Catheter</w:t>
            </w:r>
          </w:p>
        </w:tc>
        <w:tc>
          <w:tcPr>
            <w:tcW w:w="1500" w:type="dxa"/>
            <w:tcBorders>
              <w:top w:val="nil"/>
              <w:left w:val="nil"/>
              <w:bottom w:val="single" w:color="000000" w:sz="8" w:space="0"/>
              <w:right w:val="single" w:color="000000" w:sz="8" w:space="0"/>
            </w:tcBorders>
            <w:vAlign w:val="center"/>
          </w:tcPr>
          <w:p w14:paraId="04BF06AA">
            <w:pPr>
              <w:spacing w:after="0" w:line="240" w:lineRule="auto"/>
              <w:jc w:val="right"/>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4500</w:t>
            </w:r>
          </w:p>
        </w:tc>
        <w:tc>
          <w:tcPr>
            <w:tcW w:w="2551" w:type="dxa"/>
            <w:tcBorders>
              <w:top w:val="nil"/>
              <w:left w:val="nil"/>
              <w:bottom w:val="single" w:color="000000" w:sz="8" w:space="0"/>
              <w:right w:val="single" w:color="000000" w:sz="8" w:space="0"/>
            </w:tcBorders>
            <w:vAlign w:val="center"/>
          </w:tcPr>
          <w:p w14:paraId="2F6F4FEC">
            <w:pPr>
              <w:spacing w:after="0" w:line="240" w:lineRule="auto"/>
              <w:jc w:val="right"/>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200</w:t>
            </w:r>
          </w:p>
        </w:tc>
        <w:tc>
          <w:tcPr>
            <w:tcW w:w="3260" w:type="dxa"/>
            <w:tcBorders>
              <w:top w:val="nil"/>
              <w:left w:val="nil"/>
              <w:bottom w:val="single" w:color="000000" w:sz="8" w:space="0"/>
              <w:right w:val="single" w:color="000000" w:sz="8" w:space="0"/>
            </w:tcBorders>
            <w:vAlign w:val="center"/>
          </w:tcPr>
          <w:p w14:paraId="5C59D1FF">
            <w:pPr>
              <w:spacing w:after="0" w:line="240" w:lineRule="auto"/>
              <w:jc w:val="right"/>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900000</w:t>
            </w:r>
          </w:p>
        </w:tc>
      </w:tr>
      <w:tr w14:paraId="12477E25">
        <w:tblPrEx>
          <w:tblCellMar>
            <w:top w:w="0" w:type="dxa"/>
            <w:left w:w="108" w:type="dxa"/>
            <w:bottom w:w="0" w:type="dxa"/>
            <w:right w:w="108" w:type="dxa"/>
          </w:tblCellMar>
        </w:tblPrEx>
        <w:trPr>
          <w:trHeight w:val="310" w:hRule="atLeast"/>
        </w:trPr>
        <w:tc>
          <w:tcPr>
            <w:tcW w:w="2460" w:type="dxa"/>
            <w:tcBorders>
              <w:top w:val="nil"/>
              <w:left w:val="single" w:color="000000" w:sz="8" w:space="0"/>
              <w:bottom w:val="single" w:color="000000" w:sz="8" w:space="0"/>
              <w:right w:val="single" w:color="000000" w:sz="8" w:space="0"/>
            </w:tcBorders>
            <w:vAlign w:val="center"/>
          </w:tcPr>
          <w:p w14:paraId="53119527">
            <w:pPr>
              <w:spacing w:after="0" w:line="240" w:lineRule="auto"/>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F6 Dialyser</w:t>
            </w:r>
          </w:p>
        </w:tc>
        <w:tc>
          <w:tcPr>
            <w:tcW w:w="1500" w:type="dxa"/>
            <w:tcBorders>
              <w:top w:val="nil"/>
              <w:left w:val="nil"/>
              <w:bottom w:val="single" w:color="000000" w:sz="8" w:space="0"/>
              <w:right w:val="single" w:color="000000" w:sz="8" w:space="0"/>
            </w:tcBorders>
            <w:vAlign w:val="center"/>
          </w:tcPr>
          <w:p w14:paraId="6493E609">
            <w:pPr>
              <w:spacing w:after="0" w:line="240" w:lineRule="auto"/>
              <w:jc w:val="right"/>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1120</w:t>
            </w:r>
          </w:p>
        </w:tc>
        <w:tc>
          <w:tcPr>
            <w:tcW w:w="2551" w:type="dxa"/>
            <w:tcBorders>
              <w:top w:val="nil"/>
              <w:left w:val="nil"/>
              <w:bottom w:val="single" w:color="000000" w:sz="8" w:space="0"/>
              <w:right w:val="single" w:color="000000" w:sz="8" w:space="0"/>
            </w:tcBorders>
            <w:vAlign w:val="center"/>
          </w:tcPr>
          <w:p w14:paraId="18ECE48D">
            <w:pPr>
              <w:spacing w:after="0" w:line="240" w:lineRule="auto"/>
              <w:jc w:val="right"/>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400</w:t>
            </w:r>
          </w:p>
        </w:tc>
        <w:tc>
          <w:tcPr>
            <w:tcW w:w="3260" w:type="dxa"/>
            <w:tcBorders>
              <w:top w:val="nil"/>
              <w:left w:val="nil"/>
              <w:bottom w:val="single" w:color="000000" w:sz="8" w:space="0"/>
              <w:right w:val="single" w:color="000000" w:sz="8" w:space="0"/>
            </w:tcBorders>
            <w:vAlign w:val="center"/>
          </w:tcPr>
          <w:p w14:paraId="5308C3AC">
            <w:pPr>
              <w:spacing w:after="0" w:line="240" w:lineRule="auto"/>
              <w:jc w:val="right"/>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448000</w:t>
            </w:r>
          </w:p>
        </w:tc>
      </w:tr>
      <w:tr w14:paraId="2EEA297B">
        <w:tblPrEx>
          <w:tblCellMar>
            <w:top w:w="0" w:type="dxa"/>
            <w:left w:w="108" w:type="dxa"/>
            <w:bottom w:w="0" w:type="dxa"/>
            <w:right w:w="108" w:type="dxa"/>
          </w:tblCellMar>
        </w:tblPrEx>
        <w:trPr>
          <w:trHeight w:val="310" w:hRule="atLeast"/>
        </w:trPr>
        <w:tc>
          <w:tcPr>
            <w:tcW w:w="2460" w:type="dxa"/>
            <w:tcBorders>
              <w:top w:val="nil"/>
              <w:left w:val="single" w:color="000000" w:sz="8" w:space="0"/>
              <w:bottom w:val="single" w:color="000000" w:sz="8" w:space="0"/>
              <w:right w:val="single" w:color="000000" w:sz="8" w:space="0"/>
            </w:tcBorders>
            <w:vAlign w:val="center"/>
          </w:tcPr>
          <w:p w14:paraId="5BBF110E">
            <w:pPr>
              <w:spacing w:after="0" w:line="240" w:lineRule="auto"/>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Blood tubing set</w:t>
            </w:r>
          </w:p>
        </w:tc>
        <w:tc>
          <w:tcPr>
            <w:tcW w:w="1500" w:type="dxa"/>
            <w:tcBorders>
              <w:top w:val="nil"/>
              <w:left w:val="nil"/>
              <w:bottom w:val="single" w:color="000000" w:sz="8" w:space="0"/>
              <w:right w:val="single" w:color="000000" w:sz="8" w:space="0"/>
            </w:tcBorders>
            <w:vAlign w:val="center"/>
          </w:tcPr>
          <w:p w14:paraId="4BFE2817">
            <w:pPr>
              <w:spacing w:after="0" w:line="240" w:lineRule="auto"/>
              <w:jc w:val="right"/>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325</w:t>
            </w:r>
          </w:p>
        </w:tc>
        <w:tc>
          <w:tcPr>
            <w:tcW w:w="2551" w:type="dxa"/>
            <w:tcBorders>
              <w:top w:val="nil"/>
              <w:left w:val="nil"/>
              <w:bottom w:val="single" w:color="000000" w:sz="8" w:space="0"/>
              <w:right w:val="single" w:color="000000" w:sz="8" w:space="0"/>
            </w:tcBorders>
            <w:vAlign w:val="center"/>
          </w:tcPr>
          <w:p w14:paraId="7054EAAC">
            <w:pPr>
              <w:spacing w:after="0" w:line="240" w:lineRule="auto"/>
              <w:jc w:val="right"/>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600</w:t>
            </w:r>
          </w:p>
        </w:tc>
        <w:tc>
          <w:tcPr>
            <w:tcW w:w="3260" w:type="dxa"/>
            <w:tcBorders>
              <w:top w:val="nil"/>
              <w:left w:val="nil"/>
              <w:bottom w:val="single" w:color="000000" w:sz="8" w:space="0"/>
              <w:right w:val="single" w:color="000000" w:sz="8" w:space="0"/>
            </w:tcBorders>
            <w:vAlign w:val="center"/>
          </w:tcPr>
          <w:p w14:paraId="04BBAD0B">
            <w:pPr>
              <w:spacing w:after="0" w:line="240" w:lineRule="auto"/>
              <w:jc w:val="right"/>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195000</w:t>
            </w:r>
          </w:p>
        </w:tc>
      </w:tr>
      <w:tr w14:paraId="608C2E53">
        <w:tblPrEx>
          <w:tblCellMar>
            <w:top w:w="0" w:type="dxa"/>
            <w:left w:w="108" w:type="dxa"/>
            <w:bottom w:w="0" w:type="dxa"/>
            <w:right w:w="108" w:type="dxa"/>
          </w:tblCellMar>
        </w:tblPrEx>
        <w:trPr>
          <w:trHeight w:val="310" w:hRule="atLeast"/>
        </w:trPr>
        <w:tc>
          <w:tcPr>
            <w:tcW w:w="2460" w:type="dxa"/>
            <w:tcBorders>
              <w:top w:val="nil"/>
              <w:left w:val="single" w:color="000000" w:sz="8" w:space="0"/>
              <w:bottom w:val="single" w:color="000000" w:sz="8" w:space="0"/>
              <w:right w:val="single" w:color="000000" w:sz="8" w:space="0"/>
            </w:tcBorders>
            <w:vAlign w:val="center"/>
          </w:tcPr>
          <w:p w14:paraId="68462D25">
            <w:pPr>
              <w:spacing w:after="0" w:line="240" w:lineRule="auto"/>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Acid bicarb solution</w:t>
            </w:r>
          </w:p>
        </w:tc>
        <w:tc>
          <w:tcPr>
            <w:tcW w:w="1500" w:type="dxa"/>
            <w:tcBorders>
              <w:top w:val="nil"/>
              <w:left w:val="nil"/>
              <w:bottom w:val="single" w:color="000000" w:sz="8" w:space="0"/>
              <w:right w:val="single" w:color="000000" w:sz="8" w:space="0"/>
            </w:tcBorders>
            <w:vAlign w:val="center"/>
          </w:tcPr>
          <w:p w14:paraId="673EDFFF">
            <w:pPr>
              <w:spacing w:after="0" w:line="240" w:lineRule="auto"/>
              <w:jc w:val="right"/>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550</w:t>
            </w:r>
          </w:p>
        </w:tc>
        <w:tc>
          <w:tcPr>
            <w:tcW w:w="2551" w:type="dxa"/>
            <w:tcBorders>
              <w:top w:val="nil"/>
              <w:left w:val="nil"/>
              <w:bottom w:val="single" w:color="000000" w:sz="8" w:space="0"/>
              <w:right w:val="single" w:color="000000" w:sz="8" w:space="0"/>
            </w:tcBorders>
            <w:vAlign w:val="center"/>
          </w:tcPr>
          <w:p w14:paraId="722427A1">
            <w:pPr>
              <w:spacing w:after="0" w:line="240" w:lineRule="auto"/>
              <w:jc w:val="right"/>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600</w:t>
            </w:r>
          </w:p>
        </w:tc>
        <w:tc>
          <w:tcPr>
            <w:tcW w:w="3260" w:type="dxa"/>
            <w:tcBorders>
              <w:top w:val="nil"/>
              <w:left w:val="nil"/>
              <w:bottom w:val="single" w:color="000000" w:sz="8" w:space="0"/>
              <w:right w:val="single" w:color="000000" w:sz="8" w:space="0"/>
            </w:tcBorders>
            <w:vAlign w:val="center"/>
          </w:tcPr>
          <w:p w14:paraId="70113E33">
            <w:pPr>
              <w:spacing w:after="0" w:line="240" w:lineRule="auto"/>
              <w:jc w:val="right"/>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330000</w:t>
            </w:r>
          </w:p>
        </w:tc>
      </w:tr>
      <w:tr w14:paraId="2AF50EC9">
        <w:tblPrEx>
          <w:tblCellMar>
            <w:top w:w="0" w:type="dxa"/>
            <w:left w:w="108" w:type="dxa"/>
            <w:bottom w:w="0" w:type="dxa"/>
            <w:right w:w="108" w:type="dxa"/>
          </w:tblCellMar>
        </w:tblPrEx>
        <w:trPr>
          <w:trHeight w:val="310" w:hRule="atLeast"/>
        </w:trPr>
        <w:tc>
          <w:tcPr>
            <w:tcW w:w="2460" w:type="dxa"/>
            <w:tcBorders>
              <w:top w:val="nil"/>
              <w:left w:val="single" w:color="000000" w:sz="8" w:space="0"/>
              <w:bottom w:val="single" w:color="000000" w:sz="8" w:space="0"/>
              <w:right w:val="single" w:color="000000" w:sz="8" w:space="0"/>
            </w:tcBorders>
            <w:vAlign w:val="center"/>
          </w:tcPr>
          <w:p w14:paraId="7CDA1378">
            <w:pPr>
              <w:spacing w:after="0" w:line="240" w:lineRule="auto"/>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Gloves</w:t>
            </w:r>
          </w:p>
        </w:tc>
        <w:tc>
          <w:tcPr>
            <w:tcW w:w="1500" w:type="dxa"/>
            <w:tcBorders>
              <w:top w:val="nil"/>
              <w:left w:val="nil"/>
              <w:bottom w:val="single" w:color="000000" w:sz="8" w:space="0"/>
              <w:right w:val="single" w:color="000000" w:sz="8" w:space="0"/>
            </w:tcBorders>
            <w:vAlign w:val="center"/>
          </w:tcPr>
          <w:p w14:paraId="5529E352">
            <w:pPr>
              <w:spacing w:after="0" w:line="240" w:lineRule="auto"/>
              <w:jc w:val="right"/>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60</w:t>
            </w:r>
          </w:p>
        </w:tc>
        <w:tc>
          <w:tcPr>
            <w:tcW w:w="2551" w:type="dxa"/>
            <w:tcBorders>
              <w:top w:val="nil"/>
              <w:left w:val="nil"/>
              <w:bottom w:val="single" w:color="000000" w:sz="8" w:space="0"/>
              <w:right w:val="single" w:color="000000" w:sz="8" w:space="0"/>
            </w:tcBorders>
            <w:vAlign w:val="center"/>
          </w:tcPr>
          <w:p w14:paraId="43029D07">
            <w:pPr>
              <w:spacing w:after="0" w:line="240" w:lineRule="auto"/>
              <w:jc w:val="right"/>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100</w:t>
            </w:r>
          </w:p>
        </w:tc>
        <w:tc>
          <w:tcPr>
            <w:tcW w:w="3260" w:type="dxa"/>
            <w:tcBorders>
              <w:top w:val="nil"/>
              <w:left w:val="nil"/>
              <w:bottom w:val="single" w:color="000000" w:sz="8" w:space="0"/>
              <w:right w:val="single" w:color="000000" w:sz="8" w:space="0"/>
            </w:tcBorders>
            <w:vAlign w:val="center"/>
          </w:tcPr>
          <w:p w14:paraId="564EE005">
            <w:pPr>
              <w:spacing w:after="0" w:line="240" w:lineRule="auto"/>
              <w:jc w:val="right"/>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6000</w:t>
            </w:r>
          </w:p>
        </w:tc>
      </w:tr>
      <w:tr w14:paraId="2259E8E5">
        <w:tblPrEx>
          <w:tblCellMar>
            <w:top w:w="0" w:type="dxa"/>
            <w:left w:w="108" w:type="dxa"/>
            <w:bottom w:w="0" w:type="dxa"/>
            <w:right w:w="108" w:type="dxa"/>
          </w:tblCellMar>
        </w:tblPrEx>
        <w:trPr>
          <w:trHeight w:val="310" w:hRule="atLeast"/>
        </w:trPr>
        <w:tc>
          <w:tcPr>
            <w:tcW w:w="2460" w:type="dxa"/>
            <w:tcBorders>
              <w:top w:val="nil"/>
              <w:left w:val="single" w:color="000000" w:sz="8" w:space="0"/>
              <w:bottom w:val="single" w:color="000000" w:sz="8" w:space="0"/>
              <w:right w:val="single" w:color="000000" w:sz="8" w:space="0"/>
            </w:tcBorders>
            <w:vAlign w:val="center"/>
          </w:tcPr>
          <w:p w14:paraId="16450F3C">
            <w:pPr>
              <w:spacing w:after="0" w:line="240" w:lineRule="auto"/>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Heparin vial</w:t>
            </w:r>
          </w:p>
        </w:tc>
        <w:tc>
          <w:tcPr>
            <w:tcW w:w="1500" w:type="dxa"/>
            <w:tcBorders>
              <w:top w:val="nil"/>
              <w:left w:val="nil"/>
              <w:bottom w:val="single" w:color="000000" w:sz="8" w:space="0"/>
              <w:right w:val="single" w:color="000000" w:sz="8" w:space="0"/>
            </w:tcBorders>
            <w:vAlign w:val="center"/>
          </w:tcPr>
          <w:p w14:paraId="72663EF2">
            <w:pPr>
              <w:spacing w:after="0" w:line="240" w:lineRule="auto"/>
              <w:jc w:val="right"/>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300</w:t>
            </w:r>
          </w:p>
        </w:tc>
        <w:tc>
          <w:tcPr>
            <w:tcW w:w="2551" w:type="dxa"/>
            <w:tcBorders>
              <w:top w:val="nil"/>
              <w:left w:val="nil"/>
              <w:bottom w:val="single" w:color="000000" w:sz="8" w:space="0"/>
              <w:right w:val="single" w:color="000000" w:sz="8" w:space="0"/>
            </w:tcBorders>
            <w:vAlign w:val="center"/>
          </w:tcPr>
          <w:p w14:paraId="5789B50F">
            <w:pPr>
              <w:spacing w:after="0" w:line="240" w:lineRule="auto"/>
              <w:jc w:val="right"/>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600</w:t>
            </w:r>
          </w:p>
        </w:tc>
        <w:tc>
          <w:tcPr>
            <w:tcW w:w="3260" w:type="dxa"/>
            <w:tcBorders>
              <w:top w:val="nil"/>
              <w:left w:val="nil"/>
              <w:bottom w:val="single" w:color="000000" w:sz="8" w:space="0"/>
              <w:right w:val="single" w:color="000000" w:sz="8" w:space="0"/>
            </w:tcBorders>
            <w:vAlign w:val="center"/>
          </w:tcPr>
          <w:p w14:paraId="58F3F70F">
            <w:pPr>
              <w:spacing w:after="0" w:line="240" w:lineRule="auto"/>
              <w:jc w:val="right"/>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180000</w:t>
            </w:r>
          </w:p>
        </w:tc>
      </w:tr>
      <w:tr w14:paraId="7C9494A7">
        <w:tblPrEx>
          <w:tblCellMar>
            <w:top w:w="0" w:type="dxa"/>
            <w:left w:w="108" w:type="dxa"/>
            <w:bottom w:w="0" w:type="dxa"/>
            <w:right w:w="108" w:type="dxa"/>
          </w:tblCellMar>
        </w:tblPrEx>
        <w:trPr>
          <w:trHeight w:val="310" w:hRule="atLeast"/>
        </w:trPr>
        <w:tc>
          <w:tcPr>
            <w:tcW w:w="2460" w:type="dxa"/>
            <w:tcBorders>
              <w:top w:val="nil"/>
              <w:left w:val="single" w:color="000000" w:sz="8" w:space="0"/>
              <w:bottom w:val="single" w:color="000000" w:sz="8" w:space="0"/>
              <w:right w:val="single" w:color="000000" w:sz="8" w:space="0"/>
            </w:tcBorders>
            <w:vAlign w:val="center"/>
          </w:tcPr>
          <w:p w14:paraId="6E4868FD">
            <w:pPr>
              <w:spacing w:after="0" w:line="240" w:lineRule="auto"/>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Syringes</w:t>
            </w:r>
          </w:p>
        </w:tc>
        <w:tc>
          <w:tcPr>
            <w:tcW w:w="1500" w:type="dxa"/>
            <w:tcBorders>
              <w:top w:val="nil"/>
              <w:left w:val="nil"/>
              <w:bottom w:val="single" w:color="000000" w:sz="8" w:space="0"/>
              <w:right w:val="single" w:color="000000" w:sz="8" w:space="0"/>
            </w:tcBorders>
            <w:vAlign w:val="center"/>
          </w:tcPr>
          <w:p w14:paraId="6AF09CE8">
            <w:pPr>
              <w:spacing w:after="0" w:line="240" w:lineRule="auto"/>
              <w:jc w:val="right"/>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6</w:t>
            </w:r>
          </w:p>
        </w:tc>
        <w:tc>
          <w:tcPr>
            <w:tcW w:w="2551" w:type="dxa"/>
            <w:tcBorders>
              <w:top w:val="nil"/>
              <w:left w:val="nil"/>
              <w:bottom w:val="single" w:color="000000" w:sz="8" w:space="0"/>
              <w:right w:val="single" w:color="000000" w:sz="8" w:space="0"/>
            </w:tcBorders>
            <w:vAlign w:val="center"/>
          </w:tcPr>
          <w:p w14:paraId="2BC058CF">
            <w:pPr>
              <w:spacing w:after="0" w:line="240" w:lineRule="auto"/>
              <w:jc w:val="right"/>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2000</w:t>
            </w:r>
          </w:p>
        </w:tc>
        <w:tc>
          <w:tcPr>
            <w:tcW w:w="3260" w:type="dxa"/>
            <w:tcBorders>
              <w:top w:val="nil"/>
              <w:left w:val="nil"/>
              <w:bottom w:val="single" w:color="000000" w:sz="8" w:space="0"/>
              <w:right w:val="single" w:color="000000" w:sz="8" w:space="0"/>
            </w:tcBorders>
            <w:vAlign w:val="center"/>
          </w:tcPr>
          <w:p w14:paraId="0D1BBFAA">
            <w:pPr>
              <w:spacing w:after="0" w:line="240" w:lineRule="auto"/>
              <w:jc w:val="right"/>
              <w:rPr>
                <w:rFonts w:hint="default" w:ascii="Times New Roman" w:hAnsi="Times New Roman" w:eastAsia="Times New Roman" w:cs="Times New Roman"/>
                <w:color w:val="000000"/>
                <w:sz w:val="24"/>
                <w:szCs w:val="24"/>
                <w:lang w:val="en-IN" w:eastAsia="en-IN"/>
              </w:rPr>
            </w:pPr>
            <w:r>
              <w:rPr>
                <w:rFonts w:hint="default" w:ascii="Times New Roman" w:hAnsi="Times New Roman" w:eastAsia="Times New Roman" w:cs="Times New Roman"/>
                <w:color w:val="000000"/>
                <w:sz w:val="24"/>
                <w:szCs w:val="24"/>
                <w:lang w:val="en-IN" w:eastAsia="en-IN"/>
              </w:rPr>
              <w:t>12000</w:t>
            </w:r>
          </w:p>
        </w:tc>
      </w:tr>
      <w:tr w14:paraId="49D048AE">
        <w:tblPrEx>
          <w:tblCellMar>
            <w:top w:w="0" w:type="dxa"/>
            <w:left w:w="108" w:type="dxa"/>
            <w:bottom w:w="0" w:type="dxa"/>
            <w:right w:w="108" w:type="dxa"/>
          </w:tblCellMar>
        </w:tblPrEx>
        <w:trPr>
          <w:trHeight w:val="335" w:hRule="atLeast"/>
        </w:trPr>
        <w:tc>
          <w:tcPr>
            <w:tcW w:w="6511" w:type="dxa"/>
            <w:gridSpan w:val="3"/>
            <w:tcBorders>
              <w:top w:val="single" w:color="000000" w:sz="8" w:space="0"/>
              <w:left w:val="single" w:color="000000" w:sz="8" w:space="0"/>
              <w:bottom w:val="single" w:color="000000" w:sz="8" w:space="0"/>
              <w:right w:val="single" w:color="000000" w:sz="8" w:space="0"/>
            </w:tcBorders>
            <w:vAlign w:val="center"/>
          </w:tcPr>
          <w:p w14:paraId="6B17B7D6">
            <w:pPr>
              <w:spacing w:after="0" w:line="240" w:lineRule="auto"/>
              <w:jc w:val="center"/>
              <w:rPr>
                <w:rFonts w:hint="default" w:ascii="Times New Roman" w:hAnsi="Times New Roman" w:eastAsia="Times New Roman" w:cs="Times New Roman"/>
                <w:b/>
                <w:bCs/>
                <w:color w:val="000000"/>
                <w:sz w:val="24"/>
                <w:szCs w:val="24"/>
                <w:lang w:val="en-IN" w:eastAsia="en-IN"/>
              </w:rPr>
            </w:pPr>
            <w:r>
              <w:rPr>
                <w:rFonts w:hint="default" w:ascii="Times New Roman" w:hAnsi="Times New Roman" w:eastAsia="Times New Roman" w:cs="Times New Roman"/>
                <w:b/>
                <w:bCs/>
                <w:color w:val="000000"/>
                <w:sz w:val="24"/>
                <w:szCs w:val="24"/>
                <w:lang w:val="en-IN" w:eastAsia="en-IN"/>
              </w:rPr>
              <w:t>TOTAL</w:t>
            </w:r>
          </w:p>
        </w:tc>
        <w:tc>
          <w:tcPr>
            <w:tcW w:w="3260" w:type="dxa"/>
            <w:tcBorders>
              <w:top w:val="nil"/>
              <w:left w:val="nil"/>
              <w:bottom w:val="single" w:color="000000" w:sz="8" w:space="0"/>
              <w:right w:val="single" w:color="000000" w:sz="8" w:space="0"/>
            </w:tcBorders>
            <w:vAlign w:val="center"/>
          </w:tcPr>
          <w:p w14:paraId="07F47F9C">
            <w:pPr>
              <w:spacing w:after="0" w:line="240" w:lineRule="auto"/>
              <w:jc w:val="right"/>
              <w:rPr>
                <w:rFonts w:hint="default" w:ascii="Times New Roman" w:hAnsi="Times New Roman" w:eastAsia="Times New Roman" w:cs="Times New Roman"/>
                <w:b/>
                <w:bCs/>
                <w:color w:val="000000"/>
                <w:sz w:val="24"/>
                <w:szCs w:val="24"/>
                <w:lang w:val="en-IN" w:eastAsia="en-IN"/>
              </w:rPr>
            </w:pPr>
            <w:r>
              <w:rPr>
                <w:rFonts w:hint="default" w:ascii="Times New Roman" w:hAnsi="Times New Roman" w:cs="Times New Roman"/>
                <w:bCs/>
                <w:sz w:val="24"/>
                <w:lang w:val="en-IN"/>
              </w:rPr>
              <w:t xml:space="preserve">₹. </w:t>
            </w:r>
            <w:r>
              <w:rPr>
                <w:rFonts w:hint="default" w:ascii="Times New Roman" w:hAnsi="Times New Roman" w:eastAsia="Times New Roman" w:cs="Times New Roman"/>
                <w:b/>
                <w:bCs/>
                <w:color w:val="000000"/>
                <w:sz w:val="24"/>
                <w:szCs w:val="24"/>
                <w:lang w:val="en-IN" w:eastAsia="en-IN"/>
              </w:rPr>
              <w:t>2071000</w:t>
            </w:r>
          </w:p>
        </w:tc>
      </w:tr>
    </w:tbl>
    <w:p w14:paraId="27536991">
      <w:pPr>
        <w:jc w:val="both"/>
        <w:rPr>
          <w:rFonts w:hint="default" w:ascii="Times New Roman" w:hAnsi="Times New Roman" w:cs="Times New Roman"/>
        </w:rPr>
      </w:pPr>
    </w:p>
    <w:p w14:paraId="72E6A8D3">
      <w:pPr>
        <w:jc w:val="center"/>
        <w:rPr>
          <w:rFonts w:hint="default" w:ascii="Times New Roman" w:hAnsi="Times New Roman" w:cs="Times New Roman"/>
          <w:b/>
          <w:bCs/>
        </w:rPr>
      </w:pPr>
      <w:r>
        <w:rPr>
          <w:rFonts w:hint="default" w:ascii="Times New Roman" w:hAnsi="Times New Roman" w:cs="Times New Roman"/>
          <w:b/>
          <w:bCs/>
        </w:rPr>
        <w:t>District wise fund break up</w:t>
      </w:r>
    </w:p>
    <w:tbl>
      <w:tblPr>
        <w:tblStyle w:val="12"/>
        <w:tblW w:w="6946" w:type="dxa"/>
        <w:tblInd w:w="846" w:type="dxa"/>
        <w:tblLayout w:type="autofit"/>
        <w:tblCellMar>
          <w:top w:w="0" w:type="dxa"/>
          <w:left w:w="108" w:type="dxa"/>
          <w:bottom w:w="0" w:type="dxa"/>
          <w:right w:w="108" w:type="dxa"/>
        </w:tblCellMar>
      </w:tblPr>
      <w:tblGrid>
        <w:gridCol w:w="3685"/>
        <w:gridCol w:w="3261"/>
      </w:tblGrid>
      <w:tr w14:paraId="6468477D">
        <w:tblPrEx>
          <w:tblCellMar>
            <w:top w:w="0" w:type="dxa"/>
            <w:left w:w="108" w:type="dxa"/>
            <w:bottom w:w="0" w:type="dxa"/>
            <w:right w:w="108" w:type="dxa"/>
          </w:tblCellMar>
        </w:tblPrEx>
        <w:trPr>
          <w:trHeight w:val="338" w:hRule="atLeast"/>
        </w:trPr>
        <w:tc>
          <w:tcPr>
            <w:tcW w:w="3685" w:type="dxa"/>
            <w:tcBorders>
              <w:top w:val="single" w:color="auto" w:sz="4" w:space="0"/>
              <w:left w:val="single" w:color="auto" w:sz="4" w:space="0"/>
              <w:bottom w:val="single" w:color="auto" w:sz="4" w:space="0"/>
              <w:right w:val="single" w:color="auto" w:sz="4" w:space="0"/>
            </w:tcBorders>
            <w:vAlign w:val="center"/>
          </w:tcPr>
          <w:p w14:paraId="54053AB0">
            <w:pPr>
              <w:spacing w:after="0" w:line="240" w:lineRule="auto"/>
              <w:jc w:val="center"/>
              <w:rPr>
                <w:rFonts w:hint="default" w:ascii="Times New Roman" w:hAnsi="Times New Roman" w:eastAsia="Times New Roman" w:cs="Times New Roman"/>
                <w:b/>
                <w:bCs/>
                <w:color w:val="000000"/>
                <w:lang w:eastAsia="en-IN"/>
              </w:rPr>
            </w:pPr>
            <w:r>
              <w:rPr>
                <w:rFonts w:hint="default" w:ascii="Times New Roman" w:hAnsi="Times New Roman" w:eastAsia="Times New Roman" w:cs="Times New Roman"/>
                <w:b/>
                <w:bCs/>
                <w:color w:val="000000"/>
                <w:lang w:eastAsia="en-IN"/>
              </w:rPr>
              <w:t>District</w:t>
            </w:r>
          </w:p>
        </w:tc>
        <w:tc>
          <w:tcPr>
            <w:tcW w:w="3261" w:type="dxa"/>
            <w:tcBorders>
              <w:top w:val="single" w:color="auto" w:sz="4" w:space="0"/>
              <w:left w:val="nil"/>
              <w:bottom w:val="single" w:color="auto" w:sz="4" w:space="0"/>
              <w:right w:val="single" w:color="auto" w:sz="4" w:space="0"/>
            </w:tcBorders>
            <w:noWrap/>
            <w:vAlign w:val="center"/>
          </w:tcPr>
          <w:p w14:paraId="67A94927">
            <w:pPr>
              <w:spacing w:after="0" w:line="240" w:lineRule="auto"/>
              <w:jc w:val="center"/>
              <w:rPr>
                <w:rFonts w:hint="default" w:ascii="Times New Roman" w:hAnsi="Times New Roman" w:eastAsia="Times New Roman" w:cs="Times New Roman"/>
                <w:b/>
                <w:bCs/>
                <w:color w:val="000000"/>
                <w:lang w:val="en-IN" w:eastAsia="en-IN"/>
              </w:rPr>
            </w:pPr>
            <w:r>
              <w:rPr>
                <w:rFonts w:hint="default" w:ascii="Times New Roman" w:hAnsi="Times New Roman" w:eastAsia="Times New Roman" w:cs="Times New Roman"/>
                <w:b/>
                <w:bCs/>
                <w:color w:val="000000"/>
                <w:lang w:val="en-IN" w:eastAsia="en-IN"/>
              </w:rPr>
              <w:t>Amount in Rs</w:t>
            </w:r>
          </w:p>
        </w:tc>
      </w:tr>
      <w:tr w14:paraId="7B799A16">
        <w:tblPrEx>
          <w:tblCellMar>
            <w:top w:w="0" w:type="dxa"/>
            <w:left w:w="108" w:type="dxa"/>
            <w:bottom w:w="0" w:type="dxa"/>
            <w:right w:w="108" w:type="dxa"/>
          </w:tblCellMar>
        </w:tblPrEx>
        <w:trPr>
          <w:trHeight w:val="338" w:hRule="atLeast"/>
        </w:trPr>
        <w:tc>
          <w:tcPr>
            <w:tcW w:w="3685" w:type="dxa"/>
            <w:tcBorders>
              <w:top w:val="single" w:color="auto" w:sz="4" w:space="0"/>
              <w:left w:val="single" w:color="auto" w:sz="4" w:space="0"/>
              <w:bottom w:val="single" w:color="auto" w:sz="4" w:space="0"/>
              <w:right w:val="single" w:color="auto" w:sz="4" w:space="0"/>
            </w:tcBorders>
            <w:vAlign w:val="center"/>
          </w:tcPr>
          <w:p w14:paraId="62E188AF">
            <w:pPr>
              <w:spacing w:after="0" w:line="240" w:lineRule="auto"/>
              <w:rPr>
                <w:rFonts w:hint="default" w:ascii="Times New Roman" w:hAnsi="Times New Roman" w:eastAsia="Times New Roman" w:cs="Times New Roman"/>
                <w:color w:val="000000"/>
                <w:lang w:val="en-IN" w:eastAsia="en-IN"/>
              </w:rPr>
            </w:pPr>
            <w:r>
              <w:rPr>
                <w:rFonts w:hint="default" w:ascii="Times New Roman" w:hAnsi="Times New Roman" w:eastAsia="Times New Roman" w:cs="Times New Roman"/>
                <w:color w:val="000000"/>
                <w:lang w:eastAsia="en-IN"/>
              </w:rPr>
              <w:t>Aizawl East</w:t>
            </w:r>
          </w:p>
        </w:tc>
        <w:tc>
          <w:tcPr>
            <w:tcW w:w="3261" w:type="dxa"/>
            <w:tcBorders>
              <w:top w:val="single" w:color="auto" w:sz="4" w:space="0"/>
              <w:left w:val="nil"/>
              <w:bottom w:val="single" w:color="auto" w:sz="4" w:space="0"/>
              <w:right w:val="single" w:color="auto" w:sz="4" w:space="0"/>
            </w:tcBorders>
            <w:noWrap/>
            <w:vAlign w:val="center"/>
          </w:tcPr>
          <w:p w14:paraId="6ACAA71B">
            <w:pPr>
              <w:spacing w:after="0" w:line="240" w:lineRule="auto"/>
              <w:jc w:val="right"/>
              <w:rPr>
                <w:rFonts w:hint="default" w:ascii="Times New Roman" w:hAnsi="Times New Roman" w:eastAsia="Times New Roman" w:cs="Times New Roman"/>
                <w:color w:val="000000"/>
                <w:lang w:val="en-IN" w:eastAsia="en-IN"/>
              </w:rPr>
            </w:pPr>
            <w:r>
              <w:rPr>
                <w:rFonts w:hint="default" w:ascii="Times New Roman" w:hAnsi="Times New Roman" w:eastAsia="Times New Roman" w:cs="Times New Roman"/>
                <w:color w:val="000000"/>
                <w:lang w:val="en-IN" w:eastAsia="en-IN"/>
              </w:rPr>
              <w:t>435457</w:t>
            </w:r>
          </w:p>
        </w:tc>
      </w:tr>
      <w:tr w14:paraId="19AC34A3">
        <w:tblPrEx>
          <w:tblCellMar>
            <w:top w:w="0" w:type="dxa"/>
            <w:left w:w="108" w:type="dxa"/>
            <w:bottom w:w="0" w:type="dxa"/>
            <w:right w:w="108" w:type="dxa"/>
          </w:tblCellMar>
        </w:tblPrEx>
        <w:trPr>
          <w:trHeight w:val="271" w:hRule="atLeast"/>
        </w:trPr>
        <w:tc>
          <w:tcPr>
            <w:tcW w:w="3685" w:type="dxa"/>
            <w:tcBorders>
              <w:top w:val="nil"/>
              <w:left w:val="single" w:color="auto" w:sz="4" w:space="0"/>
              <w:bottom w:val="single" w:color="auto" w:sz="4" w:space="0"/>
              <w:right w:val="single" w:color="auto" w:sz="4" w:space="0"/>
            </w:tcBorders>
            <w:vAlign w:val="center"/>
          </w:tcPr>
          <w:p w14:paraId="031931C3">
            <w:pPr>
              <w:spacing w:after="0" w:line="240" w:lineRule="auto"/>
              <w:rPr>
                <w:rFonts w:hint="default" w:ascii="Times New Roman" w:hAnsi="Times New Roman" w:eastAsia="Times New Roman" w:cs="Times New Roman"/>
                <w:color w:val="000000"/>
                <w:lang w:val="en-IN" w:eastAsia="en-IN"/>
              </w:rPr>
            </w:pPr>
            <w:r>
              <w:rPr>
                <w:rFonts w:hint="default" w:ascii="Times New Roman" w:hAnsi="Times New Roman" w:eastAsia="Times New Roman" w:cs="Times New Roman"/>
                <w:color w:val="000000"/>
                <w:lang w:eastAsia="en-IN"/>
              </w:rPr>
              <w:t>Aizawl West</w:t>
            </w:r>
          </w:p>
        </w:tc>
        <w:tc>
          <w:tcPr>
            <w:tcW w:w="3261" w:type="dxa"/>
            <w:tcBorders>
              <w:top w:val="nil"/>
              <w:left w:val="nil"/>
              <w:bottom w:val="single" w:color="auto" w:sz="4" w:space="0"/>
              <w:right w:val="single" w:color="auto" w:sz="4" w:space="0"/>
            </w:tcBorders>
            <w:noWrap/>
            <w:vAlign w:val="center"/>
          </w:tcPr>
          <w:p w14:paraId="044301E4">
            <w:pPr>
              <w:spacing w:after="0" w:line="240" w:lineRule="auto"/>
              <w:jc w:val="right"/>
              <w:rPr>
                <w:rFonts w:hint="default" w:ascii="Times New Roman" w:hAnsi="Times New Roman" w:eastAsia="Times New Roman" w:cs="Times New Roman"/>
                <w:color w:val="000000"/>
                <w:lang w:val="en-IN" w:eastAsia="en-IN"/>
              </w:rPr>
            </w:pPr>
            <w:r>
              <w:rPr>
                <w:rFonts w:hint="default" w:ascii="Times New Roman" w:hAnsi="Times New Roman" w:eastAsia="Times New Roman" w:cs="Times New Roman"/>
                <w:color w:val="000000"/>
                <w:lang w:val="en-IN" w:eastAsia="en-IN"/>
              </w:rPr>
              <w:t>359249</w:t>
            </w:r>
          </w:p>
        </w:tc>
      </w:tr>
      <w:tr w14:paraId="0ED2E18C">
        <w:tblPrEx>
          <w:tblCellMar>
            <w:top w:w="0" w:type="dxa"/>
            <w:left w:w="108" w:type="dxa"/>
            <w:bottom w:w="0" w:type="dxa"/>
            <w:right w:w="108" w:type="dxa"/>
          </w:tblCellMar>
        </w:tblPrEx>
        <w:trPr>
          <w:trHeight w:val="278" w:hRule="atLeast"/>
        </w:trPr>
        <w:tc>
          <w:tcPr>
            <w:tcW w:w="3685" w:type="dxa"/>
            <w:tcBorders>
              <w:top w:val="nil"/>
              <w:left w:val="single" w:color="auto" w:sz="4" w:space="0"/>
              <w:bottom w:val="single" w:color="auto" w:sz="4" w:space="0"/>
              <w:right w:val="single" w:color="auto" w:sz="4" w:space="0"/>
            </w:tcBorders>
            <w:vAlign w:val="center"/>
          </w:tcPr>
          <w:p w14:paraId="7E6C1C84">
            <w:pPr>
              <w:spacing w:after="0" w:line="240" w:lineRule="auto"/>
              <w:rPr>
                <w:rFonts w:hint="default" w:ascii="Times New Roman" w:hAnsi="Times New Roman" w:eastAsia="Times New Roman" w:cs="Times New Roman"/>
                <w:color w:val="000000"/>
                <w:lang w:val="en-IN" w:eastAsia="en-IN"/>
              </w:rPr>
            </w:pPr>
            <w:r>
              <w:rPr>
                <w:rFonts w:hint="default" w:ascii="Times New Roman" w:hAnsi="Times New Roman" w:eastAsia="Times New Roman" w:cs="Times New Roman"/>
                <w:color w:val="000000"/>
                <w:lang w:eastAsia="en-IN"/>
              </w:rPr>
              <w:t>Champhai</w:t>
            </w:r>
          </w:p>
        </w:tc>
        <w:tc>
          <w:tcPr>
            <w:tcW w:w="3261" w:type="dxa"/>
            <w:tcBorders>
              <w:top w:val="nil"/>
              <w:left w:val="nil"/>
              <w:bottom w:val="single" w:color="auto" w:sz="4" w:space="0"/>
              <w:right w:val="single" w:color="auto" w:sz="4" w:space="0"/>
            </w:tcBorders>
            <w:noWrap/>
            <w:vAlign w:val="center"/>
          </w:tcPr>
          <w:p w14:paraId="74A23B89">
            <w:pPr>
              <w:spacing w:after="0" w:line="240" w:lineRule="auto"/>
              <w:jc w:val="right"/>
              <w:rPr>
                <w:rFonts w:hint="default" w:ascii="Times New Roman" w:hAnsi="Times New Roman" w:eastAsia="Times New Roman" w:cs="Times New Roman"/>
                <w:color w:val="000000"/>
                <w:lang w:val="en-IN" w:eastAsia="en-IN"/>
              </w:rPr>
            </w:pPr>
            <w:r>
              <w:rPr>
                <w:rFonts w:hint="default" w:ascii="Times New Roman" w:hAnsi="Times New Roman" w:eastAsia="Times New Roman" w:cs="Times New Roman"/>
                <w:color w:val="000000"/>
                <w:lang w:val="en-IN" w:eastAsia="en-IN"/>
              </w:rPr>
              <w:t>156231</w:t>
            </w:r>
          </w:p>
        </w:tc>
      </w:tr>
      <w:tr w14:paraId="3EA98DCD">
        <w:tblPrEx>
          <w:tblCellMar>
            <w:top w:w="0" w:type="dxa"/>
            <w:left w:w="108" w:type="dxa"/>
            <w:bottom w:w="0" w:type="dxa"/>
            <w:right w:w="108" w:type="dxa"/>
          </w:tblCellMar>
        </w:tblPrEx>
        <w:trPr>
          <w:trHeight w:val="290" w:hRule="atLeast"/>
        </w:trPr>
        <w:tc>
          <w:tcPr>
            <w:tcW w:w="3685" w:type="dxa"/>
            <w:tcBorders>
              <w:top w:val="nil"/>
              <w:left w:val="single" w:color="auto" w:sz="4" w:space="0"/>
              <w:bottom w:val="single" w:color="auto" w:sz="4" w:space="0"/>
              <w:right w:val="single" w:color="auto" w:sz="4" w:space="0"/>
            </w:tcBorders>
            <w:vAlign w:val="center"/>
          </w:tcPr>
          <w:p w14:paraId="4B236531">
            <w:pPr>
              <w:spacing w:after="0" w:line="240" w:lineRule="auto"/>
              <w:rPr>
                <w:rFonts w:hint="default" w:ascii="Times New Roman" w:hAnsi="Times New Roman" w:eastAsia="Times New Roman" w:cs="Times New Roman"/>
                <w:color w:val="000000"/>
                <w:lang w:val="en-IN" w:eastAsia="en-IN"/>
              </w:rPr>
            </w:pPr>
            <w:r>
              <w:rPr>
                <w:rFonts w:hint="default" w:ascii="Times New Roman" w:hAnsi="Times New Roman" w:eastAsia="Times New Roman" w:cs="Times New Roman"/>
                <w:color w:val="000000"/>
                <w:lang w:eastAsia="en-IN"/>
              </w:rPr>
              <w:t>Kolasib</w:t>
            </w:r>
          </w:p>
        </w:tc>
        <w:tc>
          <w:tcPr>
            <w:tcW w:w="3261" w:type="dxa"/>
            <w:tcBorders>
              <w:top w:val="nil"/>
              <w:left w:val="nil"/>
              <w:bottom w:val="single" w:color="auto" w:sz="4" w:space="0"/>
              <w:right w:val="single" w:color="auto" w:sz="4" w:space="0"/>
            </w:tcBorders>
            <w:noWrap/>
            <w:vAlign w:val="center"/>
          </w:tcPr>
          <w:p w14:paraId="6B29D3A7">
            <w:pPr>
              <w:spacing w:after="0" w:line="240" w:lineRule="auto"/>
              <w:jc w:val="right"/>
              <w:rPr>
                <w:rFonts w:hint="default" w:ascii="Times New Roman" w:hAnsi="Times New Roman" w:eastAsia="Times New Roman" w:cs="Times New Roman"/>
                <w:color w:val="000000"/>
                <w:lang w:val="en-IN" w:eastAsia="en-IN"/>
              </w:rPr>
            </w:pPr>
            <w:r>
              <w:rPr>
                <w:rFonts w:hint="default" w:ascii="Times New Roman" w:hAnsi="Times New Roman" w:eastAsia="Times New Roman" w:cs="Times New Roman"/>
                <w:color w:val="000000"/>
                <w:lang w:val="en-IN" w:eastAsia="en-IN"/>
              </w:rPr>
              <w:t>167751</w:t>
            </w:r>
          </w:p>
        </w:tc>
      </w:tr>
      <w:tr w14:paraId="445CABDE">
        <w:tblPrEx>
          <w:tblCellMar>
            <w:top w:w="0" w:type="dxa"/>
            <w:left w:w="108" w:type="dxa"/>
            <w:bottom w:w="0" w:type="dxa"/>
            <w:right w:w="108" w:type="dxa"/>
          </w:tblCellMar>
        </w:tblPrEx>
        <w:trPr>
          <w:trHeight w:val="258" w:hRule="atLeast"/>
        </w:trPr>
        <w:tc>
          <w:tcPr>
            <w:tcW w:w="3685" w:type="dxa"/>
            <w:tcBorders>
              <w:top w:val="nil"/>
              <w:left w:val="single" w:color="auto" w:sz="4" w:space="0"/>
              <w:bottom w:val="single" w:color="auto" w:sz="4" w:space="0"/>
              <w:right w:val="single" w:color="auto" w:sz="4" w:space="0"/>
            </w:tcBorders>
            <w:vAlign w:val="center"/>
          </w:tcPr>
          <w:p w14:paraId="09B1CD1D">
            <w:pPr>
              <w:spacing w:after="0" w:line="240" w:lineRule="auto"/>
              <w:rPr>
                <w:rFonts w:hint="default" w:ascii="Times New Roman" w:hAnsi="Times New Roman" w:eastAsia="Times New Roman" w:cs="Times New Roman"/>
                <w:color w:val="000000"/>
                <w:lang w:val="en-IN" w:eastAsia="en-IN"/>
              </w:rPr>
            </w:pPr>
            <w:r>
              <w:rPr>
                <w:rFonts w:hint="default" w:ascii="Times New Roman" w:hAnsi="Times New Roman" w:eastAsia="Times New Roman" w:cs="Times New Roman"/>
                <w:color w:val="000000"/>
                <w:lang w:eastAsia="en-IN"/>
              </w:rPr>
              <w:t>Lawngtlai</w:t>
            </w:r>
          </w:p>
        </w:tc>
        <w:tc>
          <w:tcPr>
            <w:tcW w:w="3261" w:type="dxa"/>
            <w:tcBorders>
              <w:top w:val="nil"/>
              <w:left w:val="nil"/>
              <w:bottom w:val="single" w:color="auto" w:sz="4" w:space="0"/>
              <w:right w:val="single" w:color="auto" w:sz="4" w:space="0"/>
            </w:tcBorders>
            <w:noWrap/>
            <w:vAlign w:val="center"/>
          </w:tcPr>
          <w:p w14:paraId="0F943908">
            <w:pPr>
              <w:spacing w:after="0" w:line="240" w:lineRule="auto"/>
              <w:jc w:val="right"/>
              <w:rPr>
                <w:rFonts w:hint="default" w:ascii="Times New Roman" w:hAnsi="Times New Roman" w:eastAsia="Times New Roman" w:cs="Times New Roman"/>
                <w:color w:val="000000"/>
                <w:lang w:val="en-IN" w:eastAsia="en-IN"/>
              </w:rPr>
            </w:pPr>
            <w:r>
              <w:rPr>
                <w:rFonts w:hint="default" w:ascii="Times New Roman" w:hAnsi="Times New Roman" w:eastAsia="Times New Roman" w:cs="Times New Roman"/>
                <w:color w:val="000000"/>
                <w:lang w:val="en-IN" w:eastAsia="en-IN"/>
              </w:rPr>
              <w:t>266174</w:t>
            </w:r>
          </w:p>
        </w:tc>
      </w:tr>
      <w:tr w14:paraId="5FB14626">
        <w:tblPrEx>
          <w:tblCellMar>
            <w:top w:w="0" w:type="dxa"/>
            <w:left w:w="108" w:type="dxa"/>
            <w:bottom w:w="0" w:type="dxa"/>
            <w:right w:w="108" w:type="dxa"/>
          </w:tblCellMar>
        </w:tblPrEx>
        <w:trPr>
          <w:trHeight w:val="290" w:hRule="atLeast"/>
        </w:trPr>
        <w:tc>
          <w:tcPr>
            <w:tcW w:w="3685" w:type="dxa"/>
            <w:tcBorders>
              <w:top w:val="nil"/>
              <w:left w:val="single" w:color="auto" w:sz="4" w:space="0"/>
              <w:bottom w:val="single" w:color="auto" w:sz="4" w:space="0"/>
              <w:right w:val="single" w:color="auto" w:sz="4" w:space="0"/>
            </w:tcBorders>
            <w:vAlign w:val="center"/>
          </w:tcPr>
          <w:p w14:paraId="323A33D3">
            <w:pPr>
              <w:spacing w:after="0" w:line="240" w:lineRule="auto"/>
              <w:rPr>
                <w:rFonts w:hint="default" w:ascii="Times New Roman" w:hAnsi="Times New Roman" w:eastAsia="Times New Roman" w:cs="Times New Roman"/>
                <w:color w:val="000000"/>
                <w:lang w:val="en-IN" w:eastAsia="en-IN"/>
              </w:rPr>
            </w:pPr>
            <w:r>
              <w:rPr>
                <w:rFonts w:hint="default" w:ascii="Times New Roman" w:hAnsi="Times New Roman" w:eastAsia="Times New Roman" w:cs="Times New Roman"/>
                <w:color w:val="000000"/>
                <w:lang w:eastAsia="en-IN"/>
              </w:rPr>
              <w:t>Lunglei</w:t>
            </w:r>
          </w:p>
        </w:tc>
        <w:tc>
          <w:tcPr>
            <w:tcW w:w="3261" w:type="dxa"/>
            <w:tcBorders>
              <w:top w:val="nil"/>
              <w:left w:val="nil"/>
              <w:bottom w:val="single" w:color="auto" w:sz="4" w:space="0"/>
              <w:right w:val="single" w:color="auto" w:sz="4" w:space="0"/>
            </w:tcBorders>
            <w:noWrap/>
            <w:vAlign w:val="center"/>
          </w:tcPr>
          <w:p w14:paraId="31ECACE3">
            <w:pPr>
              <w:spacing w:after="0" w:line="240" w:lineRule="auto"/>
              <w:jc w:val="right"/>
              <w:rPr>
                <w:rFonts w:hint="default" w:ascii="Times New Roman" w:hAnsi="Times New Roman" w:eastAsia="Times New Roman" w:cs="Times New Roman"/>
                <w:color w:val="000000"/>
                <w:lang w:val="en-IN" w:eastAsia="en-IN"/>
              </w:rPr>
            </w:pPr>
            <w:r>
              <w:rPr>
                <w:rFonts w:hint="default" w:ascii="Times New Roman" w:hAnsi="Times New Roman" w:eastAsia="Times New Roman" w:cs="Times New Roman"/>
                <w:color w:val="000000"/>
                <w:lang w:val="en-IN" w:eastAsia="en-IN"/>
              </w:rPr>
              <w:t>256351</w:t>
            </w:r>
          </w:p>
        </w:tc>
      </w:tr>
      <w:tr w14:paraId="4E706941">
        <w:tblPrEx>
          <w:tblCellMar>
            <w:top w:w="0" w:type="dxa"/>
            <w:left w:w="108" w:type="dxa"/>
            <w:bottom w:w="0" w:type="dxa"/>
            <w:right w:w="108" w:type="dxa"/>
          </w:tblCellMar>
        </w:tblPrEx>
        <w:trPr>
          <w:trHeight w:val="290" w:hRule="atLeast"/>
        </w:trPr>
        <w:tc>
          <w:tcPr>
            <w:tcW w:w="3685" w:type="dxa"/>
            <w:tcBorders>
              <w:top w:val="nil"/>
              <w:left w:val="single" w:color="auto" w:sz="4" w:space="0"/>
              <w:bottom w:val="single" w:color="auto" w:sz="4" w:space="0"/>
              <w:right w:val="single" w:color="auto" w:sz="4" w:space="0"/>
            </w:tcBorders>
            <w:vAlign w:val="center"/>
          </w:tcPr>
          <w:p w14:paraId="2EDCF6CC">
            <w:pPr>
              <w:spacing w:after="0" w:line="240" w:lineRule="auto"/>
              <w:rPr>
                <w:rFonts w:hint="default" w:ascii="Times New Roman" w:hAnsi="Times New Roman" w:eastAsia="Times New Roman" w:cs="Times New Roman"/>
                <w:color w:val="000000"/>
                <w:lang w:val="en-IN" w:eastAsia="en-IN"/>
              </w:rPr>
            </w:pPr>
            <w:r>
              <w:rPr>
                <w:rFonts w:hint="default" w:ascii="Times New Roman" w:hAnsi="Times New Roman" w:eastAsia="Times New Roman" w:cs="Times New Roman"/>
                <w:color w:val="000000"/>
                <w:lang w:eastAsia="en-IN"/>
              </w:rPr>
              <w:t>Mamit</w:t>
            </w:r>
          </w:p>
        </w:tc>
        <w:tc>
          <w:tcPr>
            <w:tcW w:w="3261" w:type="dxa"/>
            <w:tcBorders>
              <w:top w:val="nil"/>
              <w:left w:val="nil"/>
              <w:bottom w:val="single" w:color="auto" w:sz="4" w:space="0"/>
              <w:right w:val="single" w:color="auto" w:sz="4" w:space="0"/>
            </w:tcBorders>
            <w:noWrap/>
            <w:vAlign w:val="center"/>
          </w:tcPr>
          <w:p w14:paraId="65321C31">
            <w:pPr>
              <w:spacing w:after="0" w:line="240" w:lineRule="auto"/>
              <w:jc w:val="right"/>
              <w:rPr>
                <w:rFonts w:hint="default" w:ascii="Times New Roman" w:hAnsi="Times New Roman" w:eastAsia="Times New Roman" w:cs="Times New Roman"/>
                <w:color w:val="000000"/>
                <w:lang w:val="en-IN" w:eastAsia="en-IN"/>
              </w:rPr>
            </w:pPr>
            <w:r>
              <w:rPr>
                <w:rFonts w:hint="default" w:ascii="Times New Roman" w:hAnsi="Times New Roman" w:eastAsia="Times New Roman" w:cs="Times New Roman"/>
                <w:color w:val="000000"/>
                <w:lang w:val="en-IN" w:eastAsia="en-IN"/>
              </w:rPr>
              <w:t>184398</w:t>
            </w:r>
          </w:p>
        </w:tc>
      </w:tr>
      <w:tr w14:paraId="1F899855">
        <w:tblPrEx>
          <w:tblCellMar>
            <w:top w:w="0" w:type="dxa"/>
            <w:left w:w="108" w:type="dxa"/>
            <w:bottom w:w="0" w:type="dxa"/>
            <w:right w:w="108" w:type="dxa"/>
          </w:tblCellMar>
        </w:tblPrEx>
        <w:trPr>
          <w:trHeight w:val="290" w:hRule="atLeast"/>
        </w:trPr>
        <w:tc>
          <w:tcPr>
            <w:tcW w:w="3685" w:type="dxa"/>
            <w:tcBorders>
              <w:top w:val="nil"/>
              <w:left w:val="single" w:color="auto" w:sz="4" w:space="0"/>
              <w:bottom w:val="single" w:color="auto" w:sz="4" w:space="0"/>
              <w:right w:val="single" w:color="auto" w:sz="4" w:space="0"/>
            </w:tcBorders>
            <w:vAlign w:val="center"/>
          </w:tcPr>
          <w:p w14:paraId="4982BA34">
            <w:pPr>
              <w:spacing w:after="0" w:line="240" w:lineRule="auto"/>
              <w:rPr>
                <w:rFonts w:hint="default" w:ascii="Times New Roman" w:hAnsi="Times New Roman" w:eastAsia="Times New Roman" w:cs="Times New Roman"/>
                <w:color w:val="000000"/>
                <w:lang w:val="en-IN" w:eastAsia="en-IN"/>
              </w:rPr>
            </w:pPr>
            <w:r>
              <w:rPr>
                <w:rFonts w:hint="default" w:ascii="Times New Roman" w:hAnsi="Times New Roman" w:eastAsia="Times New Roman" w:cs="Times New Roman"/>
                <w:color w:val="000000"/>
                <w:lang w:eastAsia="en-IN"/>
              </w:rPr>
              <w:t>Saiha</w:t>
            </w:r>
          </w:p>
        </w:tc>
        <w:tc>
          <w:tcPr>
            <w:tcW w:w="3261" w:type="dxa"/>
            <w:tcBorders>
              <w:top w:val="nil"/>
              <w:left w:val="nil"/>
              <w:bottom w:val="single" w:color="auto" w:sz="4" w:space="0"/>
              <w:right w:val="single" w:color="auto" w:sz="4" w:space="0"/>
            </w:tcBorders>
            <w:noWrap/>
            <w:vAlign w:val="center"/>
          </w:tcPr>
          <w:p w14:paraId="49A023C8">
            <w:pPr>
              <w:spacing w:after="0" w:line="240" w:lineRule="auto"/>
              <w:jc w:val="right"/>
              <w:rPr>
                <w:rFonts w:hint="default" w:ascii="Times New Roman" w:hAnsi="Times New Roman" w:eastAsia="Times New Roman" w:cs="Times New Roman"/>
                <w:color w:val="000000"/>
                <w:lang w:val="en-IN" w:eastAsia="en-IN"/>
              </w:rPr>
            </w:pPr>
            <w:r>
              <w:rPr>
                <w:rFonts w:hint="default" w:ascii="Times New Roman" w:hAnsi="Times New Roman" w:eastAsia="Times New Roman" w:cs="Times New Roman"/>
                <w:color w:val="000000"/>
                <w:lang w:val="en-IN" w:eastAsia="en-IN"/>
              </w:rPr>
              <w:t>118892</w:t>
            </w:r>
          </w:p>
        </w:tc>
      </w:tr>
      <w:tr w14:paraId="315C8CD1">
        <w:tblPrEx>
          <w:tblCellMar>
            <w:top w:w="0" w:type="dxa"/>
            <w:left w:w="108" w:type="dxa"/>
            <w:bottom w:w="0" w:type="dxa"/>
            <w:right w:w="108" w:type="dxa"/>
          </w:tblCellMar>
        </w:tblPrEx>
        <w:trPr>
          <w:trHeight w:val="290" w:hRule="atLeast"/>
        </w:trPr>
        <w:tc>
          <w:tcPr>
            <w:tcW w:w="3685" w:type="dxa"/>
            <w:tcBorders>
              <w:top w:val="nil"/>
              <w:left w:val="single" w:color="auto" w:sz="4" w:space="0"/>
              <w:bottom w:val="single" w:color="auto" w:sz="4" w:space="0"/>
              <w:right w:val="single" w:color="auto" w:sz="4" w:space="0"/>
            </w:tcBorders>
            <w:vAlign w:val="center"/>
          </w:tcPr>
          <w:p w14:paraId="7CA5C533">
            <w:pPr>
              <w:spacing w:after="0" w:line="240" w:lineRule="auto"/>
              <w:rPr>
                <w:rFonts w:hint="default" w:ascii="Times New Roman" w:hAnsi="Times New Roman" w:eastAsia="Times New Roman" w:cs="Times New Roman"/>
                <w:color w:val="000000"/>
                <w:lang w:val="en-IN" w:eastAsia="en-IN"/>
              </w:rPr>
            </w:pPr>
            <w:r>
              <w:rPr>
                <w:rFonts w:hint="default" w:ascii="Times New Roman" w:hAnsi="Times New Roman" w:eastAsia="Times New Roman" w:cs="Times New Roman"/>
                <w:color w:val="000000"/>
                <w:lang w:eastAsia="en-IN"/>
              </w:rPr>
              <w:t>Serchhip</w:t>
            </w:r>
          </w:p>
        </w:tc>
        <w:tc>
          <w:tcPr>
            <w:tcW w:w="3261" w:type="dxa"/>
            <w:tcBorders>
              <w:top w:val="nil"/>
              <w:left w:val="nil"/>
              <w:bottom w:val="single" w:color="auto" w:sz="4" w:space="0"/>
              <w:right w:val="single" w:color="auto" w:sz="4" w:space="0"/>
            </w:tcBorders>
            <w:noWrap/>
            <w:vAlign w:val="center"/>
          </w:tcPr>
          <w:p w14:paraId="2DB91B64">
            <w:pPr>
              <w:spacing w:after="0" w:line="240" w:lineRule="auto"/>
              <w:jc w:val="right"/>
              <w:rPr>
                <w:rFonts w:hint="default" w:ascii="Times New Roman" w:hAnsi="Times New Roman" w:eastAsia="Times New Roman" w:cs="Times New Roman"/>
                <w:color w:val="000000"/>
                <w:lang w:val="en-IN" w:eastAsia="en-IN"/>
              </w:rPr>
            </w:pPr>
            <w:r>
              <w:rPr>
                <w:rFonts w:hint="default" w:ascii="Times New Roman" w:hAnsi="Times New Roman" w:eastAsia="Times New Roman" w:cs="Times New Roman"/>
                <w:color w:val="000000"/>
                <w:lang w:val="en-IN" w:eastAsia="en-IN"/>
              </w:rPr>
              <w:t>126497</w:t>
            </w:r>
          </w:p>
        </w:tc>
      </w:tr>
      <w:tr w14:paraId="5DD38138">
        <w:tblPrEx>
          <w:tblCellMar>
            <w:top w:w="0" w:type="dxa"/>
            <w:left w:w="108" w:type="dxa"/>
            <w:bottom w:w="0" w:type="dxa"/>
            <w:right w:w="108" w:type="dxa"/>
          </w:tblCellMar>
        </w:tblPrEx>
        <w:trPr>
          <w:trHeight w:val="290" w:hRule="atLeast"/>
        </w:trPr>
        <w:tc>
          <w:tcPr>
            <w:tcW w:w="3685" w:type="dxa"/>
            <w:tcBorders>
              <w:top w:val="nil"/>
              <w:left w:val="single" w:color="auto" w:sz="4" w:space="0"/>
              <w:bottom w:val="single" w:color="auto" w:sz="4" w:space="0"/>
              <w:right w:val="single" w:color="auto" w:sz="4" w:space="0"/>
            </w:tcBorders>
            <w:noWrap/>
            <w:vAlign w:val="center"/>
          </w:tcPr>
          <w:p w14:paraId="4692FE53">
            <w:pPr>
              <w:spacing w:after="0" w:line="240" w:lineRule="auto"/>
              <w:jc w:val="center"/>
              <w:rPr>
                <w:rFonts w:hint="default" w:ascii="Times New Roman" w:hAnsi="Times New Roman" w:eastAsia="Times New Roman" w:cs="Times New Roman"/>
                <w:b/>
                <w:bCs/>
                <w:color w:val="000000"/>
                <w:lang w:val="en-IN" w:eastAsia="en-IN"/>
              </w:rPr>
            </w:pPr>
            <w:r>
              <w:rPr>
                <w:rFonts w:hint="default" w:ascii="Times New Roman" w:hAnsi="Times New Roman" w:eastAsia="Times New Roman" w:cs="Times New Roman"/>
                <w:b/>
                <w:bCs/>
                <w:color w:val="000000"/>
                <w:lang w:val="en-IN" w:eastAsia="en-IN"/>
              </w:rPr>
              <w:t>TOTAL</w:t>
            </w:r>
          </w:p>
        </w:tc>
        <w:tc>
          <w:tcPr>
            <w:tcW w:w="3261" w:type="dxa"/>
            <w:tcBorders>
              <w:top w:val="nil"/>
              <w:left w:val="nil"/>
              <w:bottom w:val="single" w:color="auto" w:sz="4" w:space="0"/>
              <w:right w:val="single" w:color="auto" w:sz="4" w:space="0"/>
            </w:tcBorders>
            <w:noWrap/>
            <w:vAlign w:val="center"/>
          </w:tcPr>
          <w:p w14:paraId="0C1A08E2">
            <w:pPr>
              <w:spacing w:after="0" w:line="240" w:lineRule="auto"/>
              <w:jc w:val="center"/>
              <w:rPr>
                <w:rFonts w:hint="default" w:ascii="Times New Roman" w:hAnsi="Times New Roman" w:eastAsia="Times New Roman" w:cs="Times New Roman"/>
                <w:b/>
                <w:bCs/>
                <w:color w:val="000000"/>
                <w:lang w:val="en-IN" w:eastAsia="en-IN"/>
              </w:rPr>
            </w:pPr>
            <w:r>
              <w:rPr>
                <w:rFonts w:hint="default" w:ascii="Times New Roman" w:hAnsi="Times New Roman" w:eastAsia="Times New Roman" w:cs="Times New Roman"/>
                <w:b/>
                <w:bCs/>
                <w:color w:val="000000"/>
                <w:lang w:val="en-IN" w:eastAsia="en-IN"/>
              </w:rPr>
              <w:t>Rs. 2071000</w:t>
            </w:r>
          </w:p>
        </w:tc>
      </w:tr>
    </w:tbl>
    <w:p w14:paraId="0512F44F">
      <w:pPr>
        <w:jc w:val="center"/>
        <w:rPr>
          <w:rFonts w:hint="default" w:ascii="Times New Roman" w:hAnsi="Times New Roman" w:cs="Times New Roman"/>
          <w:b/>
          <w:bCs/>
        </w:rPr>
      </w:pPr>
    </w:p>
    <w:sectPr>
      <w:pgSz w:w="11906" w:h="16838"/>
      <w:pgMar w:top="1440" w:right="1080" w:bottom="1440" w:left="108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SimSun"/>
    <w:panose1 w:val="00000000000000000000"/>
    <w:charset w:val="86"/>
    <w:family w:val="swiss"/>
    <w:pitch w:val="default"/>
    <w:sig w:usb0="00000000" w:usb1="00000000" w:usb2="00000000" w:usb3="00000000" w:csb0="0000019F" w:csb1="00000000"/>
  </w:font>
  <w:font w:name="Aptos">
    <w:altName w:val="SimSun"/>
    <w:panose1 w:val="00000000000000000000"/>
    <w:charset w:val="86"/>
    <w:family w:val="auto"/>
    <w:pitch w:val="default"/>
    <w:sig w:usb0="00000000" w:usb1="00000000" w:usb2="00000000" w:usb3="00000000" w:csb0="00000000" w:csb1="00000000"/>
  </w:font>
  <w:font w:name="Aptos">
    <w:altName w:val="Segoe Print"/>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F52"/>
    <w:rsid w:val="000740E3"/>
    <w:rsid w:val="001054CE"/>
    <w:rsid w:val="00386BDA"/>
    <w:rsid w:val="005E28A5"/>
    <w:rsid w:val="00642772"/>
    <w:rsid w:val="006E4907"/>
    <w:rsid w:val="008D4309"/>
    <w:rsid w:val="00B91479"/>
    <w:rsid w:val="00E35F52"/>
    <w:rsid w:val="00F05BD0"/>
    <w:rsid w:val="00FE0E1A"/>
    <w:rsid w:val="00FF15C7"/>
    <w:rsid w:val="00FF572A"/>
    <w:rsid w:val="2B7679CE"/>
    <w:rsid w:val="684424D5"/>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kern w:val="0"/>
      <w:sz w:val="22"/>
      <w:szCs w:val="22"/>
      <w:lang w:val="en-US" w:eastAsia="en-US" w:bidi="ar-SA"/>
      <w14:ligatures w14:val="none"/>
    </w:rPr>
  </w:style>
  <w:style w:type="paragraph" w:styleId="2">
    <w:name w:val="heading 1"/>
    <w:basedOn w:val="1"/>
    <w:next w:val="1"/>
    <w:link w:val="15"/>
    <w:qFormat/>
    <w:uiPriority w:val="9"/>
    <w:pPr>
      <w:keepNext/>
      <w:keepLines/>
      <w:spacing w:before="360" w:after="80" w:line="278" w:lineRule="auto"/>
      <w:outlineLvl w:val="0"/>
    </w:pPr>
    <w:rPr>
      <w:rFonts w:asciiTheme="majorHAnsi" w:hAnsiTheme="majorHAnsi" w:eastAsiaTheme="majorEastAsia" w:cstheme="majorBidi"/>
      <w:color w:val="104862" w:themeColor="accent1" w:themeShade="BF"/>
      <w:kern w:val="2"/>
      <w:sz w:val="40"/>
      <w:szCs w:val="40"/>
      <w:lang w:val="en-IN"/>
      <w14:ligatures w14:val="standardContextual"/>
    </w:rPr>
  </w:style>
  <w:style w:type="paragraph" w:styleId="3">
    <w:name w:val="heading 2"/>
    <w:basedOn w:val="1"/>
    <w:next w:val="1"/>
    <w:link w:val="16"/>
    <w:semiHidden/>
    <w:unhideWhenUsed/>
    <w:qFormat/>
    <w:uiPriority w:val="9"/>
    <w:pPr>
      <w:keepNext/>
      <w:keepLines/>
      <w:spacing w:before="160" w:after="80" w:line="278" w:lineRule="auto"/>
      <w:outlineLvl w:val="1"/>
    </w:pPr>
    <w:rPr>
      <w:rFonts w:asciiTheme="majorHAnsi" w:hAnsiTheme="majorHAnsi" w:eastAsiaTheme="majorEastAsia" w:cstheme="majorBidi"/>
      <w:color w:val="104862" w:themeColor="accent1" w:themeShade="BF"/>
      <w:kern w:val="2"/>
      <w:sz w:val="32"/>
      <w:szCs w:val="32"/>
      <w:lang w:val="en-IN"/>
      <w14:ligatures w14:val="standardContextual"/>
    </w:rPr>
  </w:style>
  <w:style w:type="paragraph" w:styleId="4">
    <w:name w:val="heading 3"/>
    <w:basedOn w:val="1"/>
    <w:next w:val="1"/>
    <w:link w:val="17"/>
    <w:semiHidden/>
    <w:unhideWhenUsed/>
    <w:qFormat/>
    <w:uiPriority w:val="9"/>
    <w:pPr>
      <w:keepNext/>
      <w:keepLines/>
      <w:spacing w:before="160" w:after="80" w:line="278" w:lineRule="auto"/>
      <w:outlineLvl w:val="2"/>
    </w:pPr>
    <w:rPr>
      <w:rFonts w:eastAsiaTheme="majorEastAsia" w:cstheme="majorBidi"/>
      <w:color w:val="104862" w:themeColor="accent1" w:themeShade="BF"/>
      <w:kern w:val="2"/>
      <w:sz w:val="28"/>
      <w:szCs w:val="28"/>
      <w:lang w:val="en-IN"/>
      <w14:ligatures w14:val="standardContextual"/>
    </w:rPr>
  </w:style>
  <w:style w:type="paragraph" w:styleId="5">
    <w:name w:val="heading 4"/>
    <w:basedOn w:val="1"/>
    <w:next w:val="1"/>
    <w:link w:val="18"/>
    <w:semiHidden/>
    <w:unhideWhenUsed/>
    <w:qFormat/>
    <w:uiPriority w:val="9"/>
    <w:pPr>
      <w:keepNext/>
      <w:keepLines/>
      <w:spacing w:before="80" w:after="40" w:line="278" w:lineRule="auto"/>
      <w:outlineLvl w:val="3"/>
    </w:pPr>
    <w:rPr>
      <w:rFonts w:eastAsiaTheme="majorEastAsia" w:cstheme="majorBidi"/>
      <w:i/>
      <w:iCs/>
      <w:color w:val="104862" w:themeColor="accent1" w:themeShade="BF"/>
      <w:kern w:val="2"/>
      <w:sz w:val="24"/>
      <w:szCs w:val="24"/>
      <w:lang w:val="en-IN"/>
      <w14:ligatures w14:val="standardContextual"/>
    </w:rPr>
  </w:style>
  <w:style w:type="paragraph" w:styleId="6">
    <w:name w:val="heading 5"/>
    <w:basedOn w:val="1"/>
    <w:next w:val="1"/>
    <w:link w:val="19"/>
    <w:semiHidden/>
    <w:unhideWhenUsed/>
    <w:qFormat/>
    <w:uiPriority w:val="9"/>
    <w:pPr>
      <w:keepNext/>
      <w:keepLines/>
      <w:spacing w:before="80" w:after="40" w:line="278" w:lineRule="auto"/>
      <w:outlineLvl w:val="4"/>
    </w:pPr>
    <w:rPr>
      <w:rFonts w:eastAsiaTheme="majorEastAsia" w:cstheme="majorBidi"/>
      <w:color w:val="104862" w:themeColor="accent1" w:themeShade="BF"/>
      <w:kern w:val="2"/>
      <w:sz w:val="24"/>
      <w:szCs w:val="24"/>
      <w:lang w:val="en-IN"/>
      <w14:ligatures w14:val="standardContextual"/>
    </w:rPr>
  </w:style>
  <w:style w:type="paragraph" w:styleId="7">
    <w:name w:val="heading 6"/>
    <w:basedOn w:val="1"/>
    <w:next w:val="1"/>
    <w:link w:val="20"/>
    <w:semiHidden/>
    <w:unhideWhenUsed/>
    <w:qFormat/>
    <w:uiPriority w:val="9"/>
    <w:pPr>
      <w:keepNext/>
      <w:keepLines/>
      <w:spacing w:before="40" w:after="0" w:line="278" w:lineRule="auto"/>
      <w:outlineLvl w:val="5"/>
    </w:pPr>
    <w:rPr>
      <w:rFonts w:eastAsiaTheme="majorEastAsia" w:cstheme="majorBidi"/>
      <w:i/>
      <w:iCs/>
      <w:color w:val="595959" w:themeColor="text1" w:themeTint="A6"/>
      <w:kern w:val="2"/>
      <w:sz w:val="24"/>
      <w:szCs w:val="24"/>
      <w:lang w:val="en-IN"/>
      <w14:textFill>
        <w14:solidFill>
          <w14:schemeClr w14:val="tx1">
            <w14:lumMod w14:val="65000"/>
            <w14:lumOff w14:val="35000"/>
          </w14:schemeClr>
        </w14:solidFill>
      </w14:textFill>
      <w14:ligatures w14:val="standardContextual"/>
    </w:rPr>
  </w:style>
  <w:style w:type="paragraph" w:styleId="8">
    <w:name w:val="heading 7"/>
    <w:basedOn w:val="1"/>
    <w:next w:val="1"/>
    <w:link w:val="21"/>
    <w:semiHidden/>
    <w:unhideWhenUsed/>
    <w:qFormat/>
    <w:uiPriority w:val="9"/>
    <w:pPr>
      <w:keepNext/>
      <w:keepLines/>
      <w:spacing w:before="40" w:after="0" w:line="278" w:lineRule="auto"/>
      <w:outlineLvl w:val="6"/>
    </w:pPr>
    <w:rPr>
      <w:rFonts w:eastAsiaTheme="majorEastAsia" w:cstheme="majorBidi"/>
      <w:color w:val="595959" w:themeColor="text1" w:themeTint="A6"/>
      <w:kern w:val="2"/>
      <w:sz w:val="24"/>
      <w:szCs w:val="24"/>
      <w:lang w:val="en-IN"/>
      <w14:textFill>
        <w14:solidFill>
          <w14:schemeClr w14:val="tx1">
            <w14:lumMod w14:val="65000"/>
            <w14:lumOff w14:val="35000"/>
          </w14:schemeClr>
        </w14:solidFill>
      </w14:textFill>
      <w14:ligatures w14:val="standardContextual"/>
    </w:rPr>
  </w:style>
  <w:style w:type="paragraph" w:styleId="9">
    <w:name w:val="heading 8"/>
    <w:basedOn w:val="1"/>
    <w:next w:val="1"/>
    <w:link w:val="22"/>
    <w:semiHidden/>
    <w:unhideWhenUsed/>
    <w:qFormat/>
    <w:uiPriority w:val="9"/>
    <w:pPr>
      <w:keepNext/>
      <w:keepLines/>
      <w:spacing w:after="0" w:line="278" w:lineRule="auto"/>
      <w:outlineLvl w:val="7"/>
    </w:pPr>
    <w:rPr>
      <w:rFonts w:eastAsiaTheme="majorEastAsia" w:cstheme="majorBidi"/>
      <w:i/>
      <w:iCs/>
      <w:color w:val="262626" w:themeColor="text1" w:themeTint="D9"/>
      <w:kern w:val="2"/>
      <w:sz w:val="24"/>
      <w:szCs w:val="24"/>
      <w:lang w:val="en-IN"/>
      <w14:textFill>
        <w14:solidFill>
          <w14:schemeClr w14:val="tx1">
            <w14:lumMod w14:val="85000"/>
            <w14:lumOff w14:val="15000"/>
          </w14:schemeClr>
        </w14:solidFill>
      </w14:textFill>
      <w14:ligatures w14:val="standardContextual"/>
    </w:rPr>
  </w:style>
  <w:style w:type="paragraph" w:styleId="10">
    <w:name w:val="heading 9"/>
    <w:basedOn w:val="1"/>
    <w:next w:val="1"/>
    <w:link w:val="23"/>
    <w:semiHidden/>
    <w:unhideWhenUsed/>
    <w:qFormat/>
    <w:uiPriority w:val="9"/>
    <w:pPr>
      <w:keepNext/>
      <w:keepLines/>
      <w:spacing w:after="0" w:line="278" w:lineRule="auto"/>
      <w:outlineLvl w:val="8"/>
    </w:pPr>
    <w:rPr>
      <w:rFonts w:eastAsiaTheme="majorEastAsia" w:cstheme="majorBidi"/>
      <w:color w:val="262626" w:themeColor="text1" w:themeTint="D9"/>
      <w:kern w:val="2"/>
      <w:sz w:val="24"/>
      <w:szCs w:val="24"/>
      <w:lang w:val="en-IN"/>
      <w14:textFill>
        <w14:solidFill>
          <w14:schemeClr w14:val="tx1">
            <w14:lumMod w14:val="85000"/>
            <w14:lumOff w14:val="15000"/>
          </w14:schemeClr>
        </w14:solidFill>
      </w14:textFill>
      <w14:ligatures w14:val="standardContextua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Subtitle"/>
    <w:basedOn w:val="1"/>
    <w:next w:val="1"/>
    <w:link w:val="25"/>
    <w:qFormat/>
    <w:uiPriority w:val="11"/>
    <w:pPr>
      <w:spacing w:after="160" w:line="278" w:lineRule="auto"/>
    </w:pPr>
    <w:rPr>
      <w:rFonts w:eastAsiaTheme="majorEastAsia" w:cstheme="majorBidi"/>
      <w:color w:val="595959" w:themeColor="text1" w:themeTint="A6"/>
      <w:spacing w:val="15"/>
      <w:kern w:val="2"/>
      <w:sz w:val="28"/>
      <w:szCs w:val="28"/>
      <w:lang w:val="en-IN"/>
      <w14:textFill>
        <w14:solidFill>
          <w14:schemeClr w14:val="tx1">
            <w14:lumMod w14:val="65000"/>
            <w14:lumOff w14:val="35000"/>
          </w14:schemeClr>
        </w14:solidFill>
      </w14:textFill>
      <w14:ligatures w14:val="standardContextual"/>
    </w:rPr>
  </w:style>
  <w:style w:type="paragraph" w:styleId="14">
    <w:name w:val="Title"/>
    <w:basedOn w:val="1"/>
    <w:next w:val="1"/>
    <w:link w:val="24"/>
    <w:qFormat/>
    <w:uiPriority w:val="10"/>
    <w:pPr>
      <w:spacing w:after="80" w:line="240" w:lineRule="auto"/>
      <w:contextualSpacing/>
    </w:pPr>
    <w:rPr>
      <w:rFonts w:asciiTheme="majorHAnsi" w:hAnsiTheme="majorHAnsi" w:eastAsiaTheme="majorEastAsia" w:cstheme="majorBidi"/>
      <w:spacing w:val="-10"/>
      <w:kern w:val="28"/>
      <w:sz w:val="56"/>
      <w:szCs w:val="56"/>
      <w:lang w:val="en-IN"/>
      <w14:ligatures w14:val="standardContextual"/>
    </w:rPr>
  </w:style>
  <w:style w:type="character" w:customStyle="1" w:styleId="15">
    <w:name w:val="Heading 1 Char"/>
    <w:basedOn w:val="11"/>
    <w:link w:val="2"/>
    <w:qFormat/>
    <w:uiPriority w:val="9"/>
    <w:rPr>
      <w:rFonts w:asciiTheme="majorHAnsi" w:hAnsiTheme="majorHAnsi" w:eastAsiaTheme="majorEastAsia" w:cstheme="majorBidi"/>
      <w:color w:val="104862" w:themeColor="accent1" w:themeShade="BF"/>
      <w:sz w:val="40"/>
      <w:szCs w:val="40"/>
    </w:rPr>
  </w:style>
  <w:style w:type="character" w:customStyle="1" w:styleId="16">
    <w:name w:val="Heading 2 Char"/>
    <w:basedOn w:val="11"/>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17">
    <w:name w:val="Heading 3 Char"/>
    <w:basedOn w:val="11"/>
    <w:link w:val="4"/>
    <w:semiHidden/>
    <w:qFormat/>
    <w:uiPriority w:val="9"/>
    <w:rPr>
      <w:rFonts w:eastAsiaTheme="majorEastAsia" w:cstheme="majorBidi"/>
      <w:color w:val="104862" w:themeColor="accent1" w:themeShade="BF"/>
      <w:sz w:val="28"/>
      <w:szCs w:val="28"/>
    </w:rPr>
  </w:style>
  <w:style w:type="character" w:customStyle="1" w:styleId="18">
    <w:name w:val="Heading 4 Char"/>
    <w:basedOn w:val="11"/>
    <w:link w:val="5"/>
    <w:semiHidden/>
    <w:qFormat/>
    <w:uiPriority w:val="9"/>
    <w:rPr>
      <w:rFonts w:eastAsiaTheme="majorEastAsia" w:cstheme="majorBidi"/>
      <w:i/>
      <w:iCs/>
      <w:color w:val="104862" w:themeColor="accent1" w:themeShade="BF"/>
    </w:rPr>
  </w:style>
  <w:style w:type="character" w:customStyle="1" w:styleId="19">
    <w:name w:val="Heading 5 Char"/>
    <w:basedOn w:val="11"/>
    <w:link w:val="6"/>
    <w:semiHidden/>
    <w:qFormat/>
    <w:uiPriority w:val="9"/>
    <w:rPr>
      <w:rFonts w:eastAsiaTheme="majorEastAsia" w:cstheme="majorBidi"/>
      <w:color w:val="104862" w:themeColor="accent1" w:themeShade="BF"/>
    </w:rPr>
  </w:style>
  <w:style w:type="character" w:customStyle="1" w:styleId="20">
    <w:name w:val="Heading 6 Char"/>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1">
    <w:name w:val="Heading 7 Char"/>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2">
    <w:name w:val="Heading 8 Char"/>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3">
    <w:name w:val="Heading 9 Char"/>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4">
    <w:name w:val="Title Char"/>
    <w:basedOn w:val="11"/>
    <w:link w:val="14"/>
    <w:qFormat/>
    <w:uiPriority w:val="10"/>
    <w:rPr>
      <w:rFonts w:asciiTheme="majorHAnsi" w:hAnsiTheme="majorHAnsi" w:eastAsiaTheme="majorEastAsia" w:cstheme="majorBidi"/>
      <w:spacing w:val="-10"/>
      <w:kern w:val="28"/>
      <w:sz w:val="56"/>
      <w:szCs w:val="56"/>
    </w:rPr>
  </w:style>
  <w:style w:type="character" w:customStyle="1" w:styleId="25">
    <w:name w:val="Subtitle Char"/>
    <w:basedOn w:val="11"/>
    <w:link w:val="13"/>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after="160" w:line="278" w:lineRule="auto"/>
      <w:jc w:val="center"/>
    </w:pPr>
    <w:rPr>
      <w:i/>
      <w:iCs/>
      <w:color w:val="404040" w:themeColor="text1" w:themeTint="BF"/>
      <w:kern w:val="2"/>
      <w:sz w:val="24"/>
      <w:szCs w:val="24"/>
      <w:lang w:val="en-IN"/>
      <w14:textFill>
        <w14:solidFill>
          <w14:schemeClr w14:val="tx1">
            <w14:lumMod w14:val="75000"/>
            <w14:lumOff w14:val="25000"/>
          </w14:schemeClr>
        </w14:solidFill>
      </w14:textFill>
      <w14:ligatures w14:val="standardContextual"/>
    </w:rPr>
  </w:style>
  <w:style w:type="character" w:customStyle="1" w:styleId="27">
    <w:name w:val="Quote Char"/>
    <w:basedOn w:val="11"/>
    <w:link w:val="26"/>
    <w:qFormat/>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spacing w:after="160" w:line="278" w:lineRule="auto"/>
      <w:ind w:left="720"/>
      <w:contextualSpacing/>
    </w:pPr>
    <w:rPr>
      <w:kern w:val="2"/>
      <w:sz w:val="24"/>
      <w:szCs w:val="24"/>
      <w:lang w:val="en-IN"/>
      <w14:ligatures w14:val="standardContextual"/>
    </w:rPr>
  </w:style>
  <w:style w:type="character" w:customStyle="1" w:styleId="29">
    <w:name w:val="Intense Emphasis"/>
    <w:basedOn w:val="11"/>
    <w:qFormat/>
    <w:uiPriority w:val="21"/>
    <w:rPr>
      <w:i/>
      <w:iCs/>
      <w:color w:val="104862" w:themeColor="accent1" w:themeShade="BF"/>
    </w:rPr>
  </w:style>
  <w:style w:type="paragraph" w:styleId="30">
    <w:name w:val="Intense Quote"/>
    <w:basedOn w:val="1"/>
    <w:next w:val="1"/>
    <w:link w:val="31"/>
    <w:qFormat/>
    <w:uiPriority w:val="30"/>
    <w:pPr>
      <w:pBdr>
        <w:top w:val="single" w:color="0F4761" w:themeColor="accent1" w:themeShade="BF" w:sz="4" w:space="10"/>
        <w:bottom w:val="single" w:color="0F4761" w:themeColor="accent1" w:themeShade="BF" w:sz="4" w:space="10"/>
      </w:pBdr>
      <w:spacing w:before="360" w:after="360" w:line="278" w:lineRule="auto"/>
      <w:ind w:left="864" w:right="864"/>
      <w:jc w:val="center"/>
    </w:pPr>
    <w:rPr>
      <w:i/>
      <w:iCs/>
      <w:color w:val="104862" w:themeColor="accent1" w:themeShade="BF"/>
      <w:kern w:val="2"/>
      <w:sz w:val="24"/>
      <w:szCs w:val="24"/>
      <w:lang w:val="en-IN"/>
      <w14:ligatures w14:val="standardContextual"/>
    </w:rPr>
  </w:style>
  <w:style w:type="character" w:customStyle="1" w:styleId="31">
    <w:name w:val="Intense Quote Char"/>
    <w:basedOn w:val="11"/>
    <w:link w:val="30"/>
    <w:qFormat/>
    <w:uiPriority w:val="30"/>
    <w:rPr>
      <w:i/>
      <w:iCs/>
      <w:color w:val="104862" w:themeColor="accent1" w:themeShade="BF"/>
    </w:rPr>
  </w:style>
  <w:style w:type="character" w:customStyle="1" w:styleId="32">
    <w:name w:val="Intense Reference"/>
    <w:basedOn w:val="11"/>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2</Pages>
  <Words>374</Words>
  <Characters>2135</Characters>
  <Lines>17</Lines>
  <Paragraphs>5</Paragraphs>
  <TotalTime>70</TotalTime>
  <ScaleCrop>false</ScaleCrop>
  <LinksUpToDate>false</LinksUpToDate>
  <CharactersWithSpaces>2504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2025-10-08T09:47:00Z</dcterms:created>
  <dc:creator>Dr Mary Zohmingliani</dc:creator>
  <cp:lastModifiedBy>FDSI FDI</cp:lastModifiedBy>
  <dcterms:modified xsi:type="dcterms:W3CDTF">2026-03-06T04:29:08Z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8A15D36A89CE4271B8F5B4A5720B122E_12</vt:lpwstr>
  </property>
</Properties>
</file>